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36C" w:rsidRPr="006A5EBF" w:rsidRDefault="0025136C">
      <w:pPr>
        <w:rPr>
          <w:rFonts w:ascii="Arial" w:hAnsi="Arial" w:cs="Arial"/>
          <w:sz w:val="24"/>
          <w:szCs w:val="24"/>
        </w:rPr>
      </w:pPr>
    </w:p>
    <w:p w:rsidR="00446EB2" w:rsidRPr="006A5EBF" w:rsidRDefault="00446EB2">
      <w:pPr>
        <w:rPr>
          <w:rFonts w:ascii="Arial" w:hAnsi="Arial" w:cs="Arial"/>
          <w:sz w:val="24"/>
          <w:szCs w:val="24"/>
        </w:rPr>
      </w:pPr>
    </w:p>
    <w:p w:rsidR="00446EB2" w:rsidRPr="006A5EBF" w:rsidRDefault="00446EB2">
      <w:pPr>
        <w:rPr>
          <w:rFonts w:ascii="Arial" w:hAnsi="Arial" w:cs="Arial"/>
          <w:sz w:val="24"/>
          <w:szCs w:val="24"/>
        </w:rPr>
      </w:pPr>
    </w:p>
    <w:p w:rsidR="00446EB2" w:rsidRPr="006A5EBF" w:rsidRDefault="00446EB2">
      <w:pPr>
        <w:rPr>
          <w:rFonts w:ascii="Arial" w:hAnsi="Arial" w:cs="Arial"/>
          <w:sz w:val="24"/>
          <w:szCs w:val="24"/>
        </w:rPr>
      </w:pPr>
    </w:p>
    <w:p w:rsidR="00446EB2" w:rsidRPr="006A5EBF" w:rsidRDefault="00446EB2">
      <w:pPr>
        <w:rPr>
          <w:rFonts w:ascii="Arial" w:hAnsi="Arial" w:cs="Arial"/>
          <w:sz w:val="24"/>
          <w:szCs w:val="24"/>
        </w:rPr>
      </w:pPr>
    </w:p>
    <w:p w:rsidR="00446EB2" w:rsidRPr="006A5EBF" w:rsidRDefault="00446EB2">
      <w:pPr>
        <w:rPr>
          <w:rFonts w:ascii="Arial" w:hAnsi="Arial" w:cs="Arial"/>
          <w:sz w:val="24"/>
          <w:szCs w:val="24"/>
        </w:rPr>
      </w:pPr>
    </w:p>
    <w:p w:rsidR="00446EB2" w:rsidRPr="006A5EBF" w:rsidRDefault="00446EB2">
      <w:pPr>
        <w:rPr>
          <w:rFonts w:ascii="Arial" w:hAnsi="Arial" w:cs="Arial"/>
          <w:sz w:val="24"/>
          <w:szCs w:val="24"/>
        </w:rPr>
      </w:pPr>
    </w:p>
    <w:p w:rsidR="00446EB2" w:rsidRPr="006A5EBF" w:rsidRDefault="00446EB2">
      <w:pPr>
        <w:rPr>
          <w:rFonts w:ascii="Arial" w:hAnsi="Arial" w:cs="Arial"/>
          <w:sz w:val="24"/>
          <w:szCs w:val="24"/>
        </w:rPr>
      </w:pPr>
    </w:p>
    <w:p w:rsidR="00446EB2" w:rsidRPr="006A5EBF" w:rsidRDefault="00446EB2">
      <w:pPr>
        <w:rPr>
          <w:rFonts w:ascii="Arial" w:hAnsi="Arial" w:cs="Arial"/>
          <w:sz w:val="24"/>
          <w:szCs w:val="24"/>
        </w:rPr>
      </w:pPr>
    </w:p>
    <w:p w:rsidR="00446EB2" w:rsidRPr="006A5EBF" w:rsidRDefault="00446EB2">
      <w:pPr>
        <w:rPr>
          <w:rFonts w:ascii="Arial" w:hAnsi="Arial" w:cs="Arial"/>
          <w:sz w:val="24"/>
          <w:szCs w:val="24"/>
        </w:rPr>
      </w:pPr>
    </w:p>
    <w:p w:rsidR="00446EB2" w:rsidRPr="006A5EBF" w:rsidRDefault="00446EB2">
      <w:pPr>
        <w:rPr>
          <w:rFonts w:ascii="Arial" w:hAnsi="Arial" w:cs="Arial"/>
          <w:sz w:val="24"/>
          <w:szCs w:val="24"/>
        </w:rPr>
      </w:pPr>
    </w:p>
    <w:p w:rsidR="00446EB2" w:rsidRPr="006A5EBF" w:rsidRDefault="00446EB2" w:rsidP="00446EB2">
      <w:pPr>
        <w:jc w:val="center"/>
        <w:rPr>
          <w:rFonts w:ascii="Arial" w:hAnsi="Arial" w:cs="Arial"/>
          <w:sz w:val="24"/>
          <w:szCs w:val="24"/>
        </w:rPr>
      </w:pPr>
      <w:r w:rsidRPr="006A5EBF">
        <w:rPr>
          <w:rFonts w:ascii="Arial" w:hAnsi="Arial" w:cs="Arial"/>
          <w:sz w:val="24"/>
          <w:szCs w:val="24"/>
        </w:rPr>
        <w:t>HRVATSKI POVIJESNI MUZEJ</w:t>
      </w:r>
    </w:p>
    <w:p w:rsidR="008C0BCE" w:rsidRDefault="00446EB2" w:rsidP="00446EB2">
      <w:pPr>
        <w:jc w:val="center"/>
        <w:rPr>
          <w:rFonts w:ascii="Arial" w:hAnsi="Arial" w:cs="Arial"/>
          <w:sz w:val="24"/>
          <w:szCs w:val="24"/>
        </w:rPr>
      </w:pPr>
      <w:r w:rsidRPr="006A5EBF">
        <w:rPr>
          <w:rFonts w:ascii="Arial" w:hAnsi="Arial" w:cs="Arial"/>
          <w:sz w:val="24"/>
          <w:szCs w:val="24"/>
        </w:rPr>
        <w:t xml:space="preserve">OBRAZLOŽENJE FINANCIJSKOG PLANA </w:t>
      </w:r>
    </w:p>
    <w:p w:rsidR="00446EB2" w:rsidRPr="006A5EBF" w:rsidRDefault="00446EB2" w:rsidP="00446EB2">
      <w:pPr>
        <w:jc w:val="center"/>
        <w:rPr>
          <w:rFonts w:ascii="Arial" w:hAnsi="Arial" w:cs="Arial"/>
          <w:sz w:val="24"/>
          <w:szCs w:val="24"/>
        </w:rPr>
      </w:pPr>
      <w:r w:rsidRPr="006A5EBF">
        <w:rPr>
          <w:rFonts w:ascii="Arial" w:hAnsi="Arial" w:cs="Arial"/>
          <w:sz w:val="24"/>
          <w:szCs w:val="24"/>
        </w:rPr>
        <w:t>ZA RAZDOBLJE OD 202</w:t>
      </w:r>
      <w:r w:rsidR="00AC529F" w:rsidRPr="006A5EBF">
        <w:rPr>
          <w:rFonts w:ascii="Arial" w:hAnsi="Arial" w:cs="Arial"/>
          <w:sz w:val="24"/>
          <w:szCs w:val="24"/>
        </w:rPr>
        <w:t>6</w:t>
      </w:r>
      <w:r w:rsidRPr="006A5EBF">
        <w:rPr>
          <w:rFonts w:ascii="Arial" w:hAnsi="Arial" w:cs="Arial"/>
          <w:sz w:val="24"/>
          <w:szCs w:val="24"/>
        </w:rPr>
        <w:t>. GODINE DO 202</w:t>
      </w:r>
      <w:r w:rsidR="00AC529F" w:rsidRPr="006A5EBF">
        <w:rPr>
          <w:rFonts w:ascii="Arial" w:hAnsi="Arial" w:cs="Arial"/>
          <w:sz w:val="24"/>
          <w:szCs w:val="24"/>
        </w:rPr>
        <w:t>8</w:t>
      </w:r>
      <w:r w:rsidRPr="006A5EBF">
        <w:rPr>
          <w:rFonts w:ascii="Arial" w:hAnsi="Arial" w:cs="Arial"/>
          <w:sz w:val="24"/>
          <w:szCs w:val="24"/>
        </w:rPr>
        <w:t>. GODINE</w:t>
      </w:r>
    </w:p>
    <w:p w:rsidR="00446EB2" w:rsidRPr="006A5EBF" w:rsidRDefault="00446EB2">
      <w:pPr>
        <w:rPr>
          <w:rFonts w:ascii="Arial" w:hAnsi="Arial" w:cs="Arial"/>
          <w:sz w:val="24"/>
          <w:szCs w:val="24"/>
        </w:rPr>
      </w:pPr>
    </w:p>
    <w:p w:rsidR="00446EB2" w:rsidRPr="006A5EBF" w:rsidRDefault="00446EB2">
      <w:pPr>
        <w:rPr>
          <w:rFonts w:ascii="Arial" w:hAnsi="Arial" w:cs="Arial"/>
          <w:sz w:val="24"/>
          <w:szCs w:val="24"/>
        </w:rPr>
      </w:pPr>
    </w:p>
    <w:p w:rsidR="00446EB2" w:rsidRPr="006A5EBF" w:rsidRDefault="00446EB2">
      <w:pPr>
        <w:rPr>
          <w:rFonts w:ascii="Arial" w:hAnsi="Arial" w:cs="Arial"/>
          <w:sz w:val="24"/>
          <w:szCs w:val="24"/>
        </w:rPr>
      </w:pPr>
    </w:p>
    <w:p w:rsidR="00446EB2" w:rsidRPr="006A5EBF" w:rsidRDefault="00446EB2">
      <w:pPr>
        <w:rPr>
          <w:rFonts w:ascii="Arial" w:hAnsi="Arial" w:cs="Arial"/>
          <w:sz w:val="24"/>
          <w:szCs w:val="24"/>
        </w:rPr>
      </w:pPr>
    </w:p>
    <w:p w:rsidR="00446EB2" w:rsidRPr="006A5EBF" w:rsidRDefault="00446EB2">
      <w:pPr>
        <w:rPr>
          <w:rFonts w:ascii="Arial" w:hAnsi="Arial" w:cs="Arial"/>
          <w:sz w:val="24"/>
          <w:szCs w:val="24"/>
        </w:rPr>
      </w:pPr>
    </w:p>
    <w:p w:rsidR="00446EB2" w:rsidRPr="006A5EBF" w:rsidRDefault="00446EB2">
      <w:pPr>
        <w:rPr>
          <w:rFonts w:ascii="Arial" w:hAnsi="Arial" w:cs="Arial"/>
          <w:sz w:val="24"/>
          <w:szCs w:val="24"/>
        </w:rPr>
      </w:pPr>
    </w:p>
    <w:p w:rsidR="00446EB2" w:rsidRPr="006A5EBF" w:rsidRDefault="00446EB2">
      <w:pPr>
        <w:rPr>
          <w:rFonts w:ascii="Arial" w:hAnsi="Arial" w:cs="Arial"/>
          <w:sz w:val="24"/>
          <w:szCs w:val="24"/>
        </w:rPr>
      </w:pPr>
    </w:p>
    <w:p w:rsidR="00446EB2" w:rsidRPr="006A5EBF" w:rsidRDefault="00446EB2">
      <w:pPr>
        <w:rPr>
          <w:rFonts w:ascii="Arial" w:hAnsi="Arial" w:cs="Arial"/>
          <w:sz w:val="24"/>
          <w:szCs w:val="24"/>
        </w:rPr>
      </w:pPr>
    </w:p>
    <w:p w:rsidR="00446EB2" w:rsidRPr="006A5EBF" w:rsidRDefault="00446EB2">
      <w:pPr>
        <w:rPr>
          <w:rFonts w:ascii="Arial" w:hAnsi="Arial" w:cs="Arial"/>
          <w:sz w:val="24"/>
          <w:szCs w:val="24"/>
        </w:rPr>
      </w:pPr>
    </w:p>
    <w:p w:rsidR="00446EB2" w:rsidRPr="006A5EBF" w:rsidRDefault="00446EB2">
      <w:pPr>
        <w:rPr>
          <w:rFonts w:ascii="Arial" w:hAnsi="Arial" w:cs="Arial"/>
          <w:sz w:val="24"/>
          <w:szCs w:val="24"/>
        </w:rPr>
      </w:pPr>
    </w:p>
    <w:p w:rsidR="00446EB2" w:rsidRPr="006A5EBF" w:rsidRDefault="00446EB2">
      <w:pPr>
        <w:rPr>
          <w:rFonts w:ascii="Arial" w:hAnsi="Arial" w:cs="Arial"/>
          <w:sz w:val="24"/>
          <w:szCs w:val="24"/>
        </w:rPr>
      </w:pPr>
      <w:r w:rsidRPr="006A5EBF">
        <w:rPr>
          <w:rFonts w:ascii="Arial" w:hAnsi="Arial" w:cs="Arial"/>
          <w:sz w:val="24"/>
          <w:szCs w:val="24"/>
        </w:rPr>
        <w:t xml:space="preserve">U Zagrebu </w:t>
      </w:r>
      <w:r w:rsidR="001E10FC">
        <w:rPr>
          <w:rFonts w:ascii="Arial" w:hAnsi="Arial" w:cs="Arial"/>
          <w:sz w:val="24"/>
          <w:szCs w:val="24"/>
        </w:rPr>
        <w:t>22</w:t>
      </w:r>
      <w:r w:rsidR="00DA5D32" w:rsidRPr="006A5EBF">
        <w:rPr>
          <w:rFonts w:ascii="Arial" w:hAnsi="Arial" w:cs="Arial"/>
          <w:sz w:val="24"/>
          <w:szCs w:val="24"/>
        </w:rPr>
        <w:t>.</w:t>
      </w:r>
      <w:r w:rsidR="007E6403" w:rsidRPr="006A5EBF">
        <w:rPr>
          <w:rFonts w:ascii="Arial" w:hAnsi="Arial" w:cs="Arial"/>
          <w:sz w:val="24"/>
          <w:szCs w:val="24"/>
        </w:rPr>
        <w:t>1</w:t>
      </w:r>
      <w:r w:rsidR="001E10FC">
        <w:rPr>
          <w:rFonts w:ascii="Arial" w:hAnsi="Arial" w:cs="Arial"/>
          <w:sz w:val="24"/>
          <w:szCs w:val="24"/>
        </w:rPr>
        <w:t>2</w:t>
      </w:r>
      <w:r w:rsidR="00DA5D32" w:rsidRPr="006A5EBF">
        <w:rPr>
          <w:rFonts w:ascii="Arial" w:hAnsi="Arial" w:cs="Arial"/>
          <w:sz w:val="24"/>
          <w:szCs w:val="24"/>
        </w:rPr>
        <w:t>.202</w:t>
      </w:r>
      <w:r w:rsidR="00AC529F" w:rsidRPr="006A5EBF">
        <w:rPr>
          <w:rFonts w:ascii="Arial" w:hAnsi="Arial" w:cs="Arial"/>
          <w:sz w:val="24"/>
          <w:szCs w:val="24"/>
        </w:rPr>
        <w:t>5</w:t>
      </w:r>
      <w:r w:rsidRPr="006A5EBF">
        <w:rPr>
          <w:rFonts w:ascii="Arial" w:hAnsi="Arial" w:cs="Arial"/>
          <w:sz w:val="24"/>
          <w:szCs w:val="24"/>
        </w:rPr>
        <w:t>.</w:t>
      </w:r>
    </w:p>
    <w:p w:rsidR="00446EB2" w:rsidRPr="006A5EBF" w:rsidRDefault="00446EB2">
      <w:pPr>
        <w:rPr>
          <w:rFonts w:ascii="Arial" w:hAnsi="Arial" w:cs="Arial"/>
          <w:sz w:val="24"/>
          <w:szCs w:val="24"/>
        </w:rPr>
      </w:pPr>
    </w:p>
    <w:p w:rsidR="00446EB2" w:rsidRPr="006A5EBF" w:rsidRDefault="00446EB2">
      <w:pPr>
        <w:rPr>
          <w:rFonts w:ascii="Arial" w:hAnsi="Arial" w:cs="Arial"/>
          <w:sz w:val="24"/>
          <w:szCs w:val="24"/>
        </w:rPr>
      </w:pPr>
    </w:p>
    <w:p w:rsidR="00446EB2" w:rsidRDefault="00446EB2">
      <w:pPr>
        <w:rPr>
          <w:rFonts w:ascii="Arial" w:hAnsi="Arial" w:cs="Arial"/>
          <w:sz w:val="24"/>
          <w:szCs w:val="24"/>
        </w:rPr>
      </w:pPr>
    </w:p>
    <w:p w:rsidR="00180509" w:rsidRPr="006A5EBF" w:rsidRDefault="00180509">
      <w:pPr>
        <w:rPr>
          <w:rFonts w:ascii="Arial" w:hAnsi="Arial" w:cs="Arial"/>
          <w:sz w:val="24"/>
          <w:szCs w:val="24"/>
        </w:rPr>
      </w:pPr>
    </w:p>
    <w:p w:rsidR="00446EB2" w:rsidRPr="006A5EBF" w:rsidRDefault="00446EB2">
      <w:pPr>
        <w:rPr>
          <w:rFonts w:ascii="Arial" w:hAnsi="Arial" w:cs="Arial"/>
          <w:sz w:val="24"/>
          <w:szCs w:val="24"/>
        </w:rPr>
      </w:pPr>
    </w:p>
    <w:p w:rsidR="00EB5967" w:rsidRPr="006A5EBF" w:rsidRDefault="00EB5967" w:rsidP="00EB5967">
      <w:pPr>
        <w:jc w:val="both"/>
        <w:rPr>
          <w:rFonts w:ascii="Arial" w:hAnsi="Arial" w:cs="Arial"/>
          <w:sz w:val="24"/>
          <w:szCs w:val="24"/>
        </w:rPr>
      </w:pPr>
      <w:r w:rsidRPr="006A5EBF">
        <w:rPr>
          <w:rFonts w:ascii="Arial" w:hAnsi="Arial" w:cs="Arial"/>
          <w:sz w:val="24"/>
          <w:szCs w:val="24"/>
        </w:rPr>
        <w:t>HRVATSKI POVIJESNI MUZEJ</w:t>
      </w:r>
      <w:r w:rsidRPr="006A5EBF">
        <w:rPr>
          <w:rFonts w:ascii="Arial" w:hAnsi="Arial" w:cs="Arial"/>
          <w:sz w:val="24"/>
          <w:szCs w:val="24"/>
        </w:rPr>
        <w:tab/>
      </w:r>
      <w:r w:rsidRPr="006A5EBF">
        <w:rPr>
          <w:rFonts w:ascii="Arial" w:hAnsi="Arial" w:cs="Arial"/>
          <w:sz w:val="24"/>
          <w:szCs w:val="24"/>
        </w:rPr>
        <w:tab/>
      </w:r>
      <w:r w:rsidRPr="006A5EBF">
        <w:rPr>
          <w:rFonts w:ascii="Arial" w:hAnsi="Arial" w:cs="Arial"/>
          <w:sz w:val="24"/>
          <w:szCs w:val="24"/>
        </w:rPr>
        <w:tab/>
      </w:r>
      <w:r w:rsidRPr="006A5EBF">
        <w:rPr>
          <w:rFonts w:ascii="Arial" w:hAnsi="Arial" w:cs="Arial"/>
          <w:sz w:val="24"/>
          <w:szCs w:val="24"/>
        </w:rPr>
        <w:tab/>
      </w:r>
      <w:r w:rsidRPr="006A5EBF">
        <w:rPr>
          <w:rFonts w:ascii="Arial" w:hAnsi="Arial" w:cs="Arial"/>
          <w:b/>
          <w:sz w:val="24"/>
          <w:szCs w:val="24"/>
        </w:rPr>
        <w:t>Broj RKP-a</w:t>
      </w:r>
      <w:r w:rsidRPr="006A5EBF">
        <w:rPr>
          <w:rFonts w:ascii="Arial" w:hAnsi="Arial" w:cs="Arial"/>
          <w:sz w:val="24"/>
          <w:szCs w:val="24"/>
        </w:rPr>
        <w:t>: 00965</w:t>
      </w:r>
    </w:p>
    <w:p w:rsidR="00EB5967" w:rsidRPr="006A5EBF" w:rsidRDefault="00EB5967" w:rsidP="00EB5967">
      <w:pPr>
        <w:jc w:val="both"/>
        <w:rPr>
          <w:rFonts w:ascii="Arial" w:hAnsi="Arial" w:cs="Arial"/>
          <w:sz w:val="24"/>
          <w:szCs w:val="24"/>
        </w:rPr>
      </w:pPr>
      <w:r w:rsidRPr="006A5EBF">
        <w:rPr>
          <w:rFonts w:ascii="Arial" w:hAnsi="Arial" w:cs="Arial"/>
          <w:sz w:val="24"/>
          <w:szCs w:val="24"/>
        </w:rPr>
        <w:t>MATOŠEVA 9</w:t>
      </w:r>
      <w:r w:rsidRPr="006A5EBF">
        <w:rPr>
          <w:rFonts w:ascii="Arial" w:hAnsi="Arial" w:cs="Arial"/>
          <w:sz w:val="24"/>
          <w:szCs w:val="24"/>
        </w:rPr>
        <w:tab/>
      </w:r>
      <w:r w:rsidRPr="006A5EBF">
        <w:rPr>
          <w:rFonts w:ascii="Arial" w:hAnsi="Arial" w:cs="Arial"/>
          <w:sz w:val="24"/>
          <w:szCs w:val="24"/>
        </w:rPr>
        <w:tab/>
      </w:r>
      <w:r w:rsidRPr="006A5EBF">
        <w:rPr>
          <w:rFonts w:ascii="Arial" w:hAnsi="Arial" w:cs="Arial"/>
          <w:sz w:val="24"/>
          <w:szCs w:val="24"/>
        </w:rPr>
        <w:tab/>
      </w:r>
      <w:r w:rsidRPr="006A5EBF">
        <w:rPr>
          <w:rFonts w:ascii="Arial" w:hAnsi="Arial" w:cs="Arial"/>
          <w:sz w:val="24"/>
          <w:szCs w:val="24"/>
        </w:rPr>
        <w:tab/>
      </w:r>
      <w:r w:rsidRPr="006A5EBF">
        <w:rPr>
          <w:rFonts w:ascii="Arial" w:hAnsi="Arial" w:cs="Arial"/>
          <w:sz w:val="24"/>
          <w:szCs w:val="24"/>
        </w:rPr>
        <w:tab/>
      </w:r>
      <w:r w:rsidRPr="006A5EBF">
        <w:rPr>
          <w:rFonts w:ascii="Arial" w:hAnsi="Arial" w:cs="Arial"/>
          <w:sz w:val="24"/>
          <w:szCs w:val="24"/>
        </w:rPr>
        <w:tab/>
      </w:r>
      <w:r w:rsidRPr="006A5EBF">
        <w:rPr>
          <w:rFonts w:ascii="Arial" w:hAnsi="Arial" w:cs="Arial"/>
          <w:b/>
          <w:sz w:val="24"/>
          <w:szCs w:val="24"/>
        </w:rPr>
        <w:t>Matični broj</w:t>
      </w:r>
      <w:r w:rsidRPr="006A5EBF">
        <w:rPr>
          <w:rFonts w:ascii="Arial" w:hAnsi="Arial" w:cs="Arial"/>
          <w:sz w:val="24"/>
          <w:szCs w:val="24"/>
        </w:rPr>
        <w:t>: 032120</w:t>
      </w:r>
    </w:p>
    <w:p w:rsidR="00EB5967" w:rsidRPr="006A5EBF" w:rsidRDefault="00EB5967" w:rsidP="00EB5967">
      <w:pPr>
        <w:jc w:val="both"/>
        <w:rPr>
          <w:rFonts w:ascii="Arial" w:hAnsi="Arial" w:cs="Arial"/>
          <w:sz w:val="24"/>
          <w:szCs w:val="24"/>
        </w:rPr>
      </w:pPr>
      <w:r w:rsidRPr="006A5EBF">
        <w:rPr>
          <w:rFonts w:ascii="Arial" w:hAnsi="Arial" w:cs="Arial"/>
          <w:sz w:val="24"/>
          <w:szCs w:val="24"/>
        </w:rPr>
        <w:t>10000 ZAGREB</w:t>
      </w:r>
      <w:r w:rsidRPr="006A5EBF">
        <w:rPr>
          <w:rFonts w:ascii="Arial" w:hAnsi="Arial" w:cs="Arial"/>
          <w:sz w:val="24"/>
          <w:szCs w:val="24"/>
        </w:rPr>
        <w:tab/>
      </w:r>
      <w:r w:rsidRPr="006A5EBF">
        <w:rPr>
          <w:rFonts w:ascii="Arial" w:hAnsi="Arial" w:cs="Arial"/>
          <w:sz w:val="24"/>
          <w:szCs w:val="24"/>
        </w:rPr>
        <w:tab/>
      </w:r>
      <w:r w:rsidRPr="006A5EBF">
        <w:rPr>
          <w:rFonts w:ascii="Arial" w:hAnsi="Arial" w:cs="Arial"/>
          <w:sz w:val="24"/>
          <w:szCs w:val="24"/>
        </w:rPr>
        <w:tab/>
      </w:r>
      <w:r w:rsidRPr="006A5EBF">
        <w:rPr>
          <w:rFonts w:ascii="Arial" w:hAnsi="Arial" w:cs="Arial"/>
          <w:sz w:val="24"/>
          <w:szCs w:val="24"/>
        </w:rPr>
        <w:tab/>
      </w:r>
      <w:r w:rsidRPr="006A5EBF">
        <w:rPr>
          <w:rFonts w:ascii="Arial" w:hAnsi="Arial" w:cs="Arial"/>
          <w:sz w:val="24"/>
          <w:szCs w:val="24"/>
        </w:rPr>
        <w:tab/>
      </w:r>
      <w:r w:rsidRPr="006A5EBF">
        <w:rPr>
          <w:rFonts w:ascii="Arial" w:hAnsi="Arial" w:cs="Arial"/>
          <w:sz w:val="24"/>
          <w:szCs w:val="24"/>
        </w:rPr>
        <w:tab/>
      </w:r>
      <w:r w:rsidRPr="006A5EBF">
        <w:rPr>
          <w:rFonts w:ascii="Arial" w:hAnsi="Arial" w:cs="Arial"/>
          <w:b/>
          <w:sz w:val="24"/>
          <w:szCs w:val="24"/>
        </w:rPr>
        <w:t>Razina</w:t>
      </w:r>
      <w:r w:rsidRPr="006A5EBF">
        <w:rPr>
          <w:rFonts w:ascii="Arial" w:hAnsi="Arial" w:cs="Arial"/>
          <w:sz w:val="24"/>
          <w:szCs w:val="24"/>
        </w:rPr>
        <w:t>: 11</w:t>
      </w:r>
    </w:p>
    <w:p w:rsidR="00EB5967" w:rsidRPr="006A5EBF" w:rsidRDefault="00EB5967" w:rsidP="00EB5967">
      <w:pPr>
        <w:jc w:val="both"/>
        <w:rPr>
          <w:rFonts w:ascii="Arial" w:hAnsi="Arial" w:cs="Arial"/>
          <w:sz w:val="24"/>
          <w:szCs w:val="24"/>
        </w:rPr>
      </w:pPr>
      <w:r w:rsidRPr="006A5EBF">
        <w:rPr>
          <w:rFonts w:ascii="Arial" w:hAnsi="Arial" w:cs="Arial"/>
          <w:b/>
          <w:sz w:val="24"/>
          <w:szCs w:val="24"/>
        </w:rPr>
        <w:t>OIB</w:t>
      </w:r>
      <w:r w:rsidRPr="006A5EBF">
        <w:rPr>
          <w:rFonts w:ascii="Arial" w:hAnsi="Arial" w:cs="Arial"/>
          <w:sz w:val="24"/>
          <w:szCs w:val="24"/>
        </w:rPr>
        <w:t>: 10624495854</w:t>
      </w:r>
      <w:r w:rsidRPr="006A5EBF">
        <w:rPr>
          <w:rFonts w:ascii="Arial" w:hAnsi="Arial" w:cs="Arial"/>
          <w:sz w:val="24"/>
          <w:szCs w:val="24"/>
        </w:rPr>
        <w:tab/>
      </w:r>
      <w:r w:rsidRPr="006A5EBF">
        <w:rPr>
          <w:rFonts w:ascii="Arial" w:hAnsi="Arial" w:cs="Arial"/>
          <w:sz w:val="24"/>
          <w:szCs w:val="24"/>
        </w:rPr>
        <w:tab/>
      </w:r>
      <w:r w:rsidRPr="006A5EBF">
        <w:rPr>
          <w:rFonts w:ascii="Arial" w:hAnsi="Arial" w:cs="Arial"/>
          <w:sz w:val="24"/>
          <w:szCs w:val="24"/>
        </w:rPr>
        <w:tab/>
      </w:r>
      <w:r w:rsidRPr="006A5EBF">
        <w:rPr>
          <w:rFonts w:ascii="Arial" w:hAnsi="Arial" w:cs="Arial"/>
          <w:sz w:val="24"/>
          <w:szCs w:val="24"/>
        </w:rPr>
        <w:tab/>
      </w:r>
      <w:r w:rsidRPr="006A5EBF">
        <w:rPr>
          <w:rFonts w:ascii="Arial" w:hAnsi="Arial" w:cs="Arial"/>
          <w:sz w:val="24"/>
          <w:szCs w:val="24"/>
        </w:rPr>
        <w:tab/>
      </w:r>
      <w:r w:rsidR="005B2C67" w:rsidRPr="006A5EBF">
        <w:rPr>
          <w:rFonts w:ascii="Arial" w:hAnsi="Arial" w:cs="Arial"/>
          <w:sz w:val="24"/>
          <w:szCs w:val="24"/>
        </w:rPr>
        <w:tab/>
      </w:r>
      <w:r w:rsidRPr="006A5EBF">
        <w:rPr>
          <w:rFonts w:ascii="Arial" w:hAnsi="Arial" w:cs="Arial"/>
          <w:b/>
          <w:sz w:val="24"/>
          <w:szCs w:val="24"/>
        </w:rPr>
        <w:t>Razdjel</w:t>
      </w:r>
      <w:r w:rsidRPr="006A5EBF">
        <w:rPr>
          <w:rFonts w:ascii="Arial" w:hAnsi="Arial" w:cs="Arial"/>
          <w:sz w:val="24"/>
          <w:szCs w:val="24"/>
        </w:rPr>
        <w:t>: 055</w:t>
      </w:r>
    </w:p>
    <w:p w:rsidR="00EB5967" w:rsidRPr="006A5EBF" w:rsidRDefault="00EB5967" w:rsidP="00EB5967">
      <w:pPr>
        <w:jc w:val="both"/>
        <w:rPr>
          <w:rFonts w:ascii="Arial" w:hAnsi="Arial" w:cs="Arial"/>
          <w:sz w:val="24"/>
          <w:szCs w:val="24"/>
        </w:rPr>
      </w:pPr>
      <w:r w:rsidRPr="006A5EBF">
        <w:rPr>
          <w:rFonts w:ascii="Arial" w:hAnsi="Arial" w:cs="Arial"/>
          <w:sz w:val="24"/>
          <w:szCs w:val="24"/>
        </w:rPr>
        <w:tab/>
      </w:r>
      <w:r w:rsidRPr="006A5EBF">
        <w:rPr>
          <w:rFonts w:ascii="Arial" w:hAnsi="Arial" w:cs="Arial"/>
          <w:sz w:val="24"/>
          <w:szCs w:val="24"/>
        </w:rPr>
        <w:tab/>
      </w:r>
      <w:r w:rsidRPr="006A5EBF">
        <w:rPr>
          <w:rFonts w:ascii="Arial" w:hAnsi="Arial" w:cs="Arial"/>
          <w:sz w:val="24"/>
          <w:szCs w:val="24"/>
        </w:rPr>
        <w:tab/>
      </w:r>
      <w:r w:rsidRPr="006A5EBF">
        <w:rPr>
          <w:rFonts w:ascii="Arial" w:hAnsi="Arial" w:cs="Arial"/>
          <w:sz w:val="24"/>
          <w:szCs w:val="24"/>
        </w:rPr>
        <w:tab/>
      </w:r>
      <w:r w:rsidRPr="006A5EBF">
        <w:rPr>
          <w:rFonts w:ascii="Arial" w:hAnsi="Arial" w:cs="Arial"/>
          <w:sz w:val="24"/>
          <w:szCs w:val="24"/>
        </w:rPr>
        <w:tab/>
      </w:r>
      <w:r w:rsidRPr="006A5EBF">
        <w:rPr>
          <w:rFonts w:ascii="Arial" w:hAnsi="Arial" w:cs="Arial"/>
          <w:sz w:val="24"/>
          <w:szCs w:val="24"/>
        </w:rPr>
        <w:tab/>
      </w:r>
      <w:r w:rsidRPr="006A5EBF">
        <w:rPr>
          <w:rFonts w:ascii="Arial" w:hAnsi="Arial" w:cs="Arial"/>
          <w:sz w:val="24"/>
          <w:szCs w:val="24"/>
        </w:rPr>
        <w:tab/>
      </w:r>
      <w:r w:rsidR="005B2C67" w:rsidRPr="006A5EBF">
        <w:rPr>
          <w:rFonts w:ascii="Arial" w:hAnsi="Arial" w:cs="Arial"/>
          <w:sz w:val="24"/>
          <w:szCs w:val="24"/>
        </w:rPr>
        <w:tab/>
      </w:r>
      <w:r w:rsidRPr="006A5EBF">
        <w:rPr>
          <w:rFonts w:ascii="Arial" w:hAnsi="Arial" w:cs="Arial"/>
          <w:b/>
          <w:sz w:val="24"/>
          <w:szCs w:val="24"/>
        </w:rPr>
        <w:t>Šifra djelatnosti</w:t>
      </w:r>
      <w:r w:rsidRPr="006A5EBF">
        <w:rPr>
          <w:rFonts w:ascii="Arial" w:hAnsi="Arial" w:cs="Arial"/>
          <w:sz w:val="24"/>
          <w:szCs w:val="24"/>
        </w:rPr>
        <w:t>: 9102</w:t>
      </w:r>
    </w:p>
    <w:p w:rsidR="00446EB2" w:rsidRPr="006A5EBF" w:rsidRDefault="00446EB2">
      <w:pPr>
        <w:rPr>
          <w:rFonts w:ascii="Arial" w:hAnsi="Arial" w:cs="Arial"/>
          <w:sz w:val="24"/>
          <w:szCs w:val="24"/>
        </w:rPr>
      </w:pPr>
    </w:p>
    <w:p w:rsidR="00EB5967" w:rsidRPr="006A5EBF" w:rsidRDefault="00EB5967" w:rsidP="006A5EBF">
      <w:pPr>
        <w:jc w:val="both"/>
        <w:rPr>
          <w:rFonts w:ascii="Arial" w:hAnsi="Arial" w:cs="Arial"/>
          <w:sz w:val="24"/>
          <w:szCs w:val="24"/>
        </w:rPr>
      </w:pPr>
      <w:r w:rsidRPr="006A5EBF">
        <w:rPr>
          <w:rFonts w:ascii="Arial" w:hAnsi="Arial" w:cs="Arial"/>
          <w:sz w:val="24"/>
          <w:szCs w:val="24"/>
        </w:rPr>
        <w:t>Sukladno člancima 28. i 30. Zakona o proračunu (NN 87/08, 136/12</w:t>
      </w:r>
      <w:r w:rsidR="00C6248F" w:rsidRPr="006A5EBF">
        <w:rPr>
          <w:rFonts w:ascii="Arial" w:hAnsi="Arial" w:cs="Arial"/>
          <w:sz w:val="24"/>
          <w:szCs w:val="24"/>
        </w:rPr>
        <w:t xml:space="preserve">, </w:t>
      </w:r>
      <w:r w:rsidRPr="006A5EBF">
        <w:rPr>
          <w:rFonts w:ascii="Arial" w:hAnsi="Arial" w:cs="Arial"/>
          <w:sz w:val="24"/>
          <w:szCs w:val="24"/>
        </w:rPr>
        <w:t>15/15</w:t>
      </w:r>
      <w:r w:rsidR="00C6248F" w:rsidRPr="006A5EBF">
        <w:rPr>
          <w:rFonts w:ascii="Arial" w:hAnsi="Arial" w:cs="Arial"/>
          <w:sz w:val="24"/>
          <w:szCs w:val="24"/>
        </w:rPr>
        <w:t>, 144/21</w:t>
      </w:r>
      <w:r w:rsidRPr="006A5EBF">
        <w:rPr>
          <w:rFonts w:ascii="Arial" w:hAnsi="Arial" w:cs="Arial"/>
          <w:sz w:val="24"/>
          <w:szCs w:val="24"/>
        </w:rPr>
        <w:t xml:space="preserve">) </w:t>
      </w:r>
      <w:r w:rsidR="00A07468" w:rsidRPr="006A5EBF">
        <w:rPr>
          <w:rFonts w:ascii="Arial" w:hAnsi="Arial" w:cs="Arial"/>
          <w:sz w:val="24"/>
          <w:szCs w:val="24"/>
        </w:rPr>
        <w:t>i članku 47. Statuta</w:t>
      </w:r>
      <w:r w:rsidR="00275ACA">
        <w:rPr>
          <w:rFonts w:ascii="Arial" w:hAnsi="Arial" w:cs="Arial"/>
          <w:sz w:val="24"/>
          <w:szCs w:val="24"/>
        </w:rPr>
        <w:t>,</w:t>
      </w:r>
      <w:r w:rsidR="00A07468" w:rsidRPr="006A5EBF">
        <w:rPr>
          <w:rFonts w:ascii="Arial" w:hAnsi="Arial" w:cs="Arial"/>
          <w:sz w:val="24"/>
          <w:szCs w:val="24"/>
        </w:rPr>
        <w:t xml:space="preserve"> </w:t>
      </w:r>
      <w:r w:rsidRPr="006A5EBF">
        <w:rPr>
          <w:rFonts w:ascii="Arial" w:hAnsi="Arial" w:cs="Arial"/>
          <w:sz w:val="24"/>
          <w:szCs w:val="24"/>
        </w:rPr>
        <w:t xml:space="preserve">Hrvatski povijesni muzej </w:t>
      </w:r>
      <w:r w:rsidR="00A07468" w:rsidRPr="006A5EBF">
        <w:rPr>
          <w:rFonts w:ascii="Arial" w:hAnsi="Arial" w:cs="Arial"/>
          <w:sz w:val="24"/>
          <w:szCs w:val="24"/>
        </w:rPr>
        <w:t xml:space="preserve">donosi </w:t>
      </w:r>
      <w:r w:rsidR="000C6B3F">
        <w:rPr>
          <w:rFonts w:ascii="Arial" w:hAnsi="Arial" w:cs="Arial"/>
          <w:sz w:val="24"/>
          <w:szCs w:val="24"/>
        </w:rPr>
        <w:t>F</w:t>
      </w:r>
      <w:r w:rsidRPr="006A5EBF">
        <w:rPr>
          <w:rFonts w:ascii="Arial" w:hAnsi="Arial" w:cs="Arial"/>
          <w:sz w:val="24"/>
          <w:szCs w:val="24"/>
        </w:rPr>
        <w:t>inancijsk</w:t>
      </w:r>
      <w:r w:rsidR="000C6B3F">
        <w:rPr>
          <w:rFonts w:ascii="Arial" w:hAnsi="Arial" w:cs="Arial"/>
          <w:sz w:val="24"/>
          <w:szCs w:val="24"/>
        </w:rPr>
        <w:t>i</w:t>
      </w:r>
      <w:r w:rsidRPr="006A5EBF">
        <w:rPr>
          <w:rFonts w:ascii="Arial" w:hAnsi="Arial" w:cs="Arial"/>
          <w:sz w:val="24"/>
          <w:szCs w:val="24"/>
        </w:rPr>
        <w:t xml:space="preserve"> plan</w:t>
      </w:r>
      <w:r w:rsidR="00A07468" w:rsidRPr="006A5EBF">
        <w:rPr>
          <w:rFonts w:ascii="Arial" w:hAnsi="Arial" w:cs="Arial"/>
          <w:sz w:val="24"/>
          <w:szCs w:val="24"/>
        </w:rPr>
        <w:t xml:space="preserve"> za razdoblje od 202</w:t>
      </w:r>
      <w:r w:rsidR="00683D25" w:rsidRPr="006A5EBF">
        <w:rPr>
          <w:rFonts w:ascii="Arial" w:hAnsi="Arial" w:cs="Arial"/>
          <w:sz w:val="24"/>
          <w:szCs w:val="24"/>
        </w:rPr>
        <w:t>6</w:t>
      </w:r>
      <w:r w:rsidR="00A07468" w:rsidRPr="006A5EBF">
        <w:rPr>
          <w:rFonts w:ascii="Arial" w:hAnsi="Arial" w:cs="Arial"/>
          <w:sz w:val="24"/>
          <w:szCs w:val="24"/>
        </w:rPr>
        <w:t>. do 202</w:t>
      </w:r>
      <w:r w:rsidR="00683D25" w:rsidRPr="006A5EBF">
        <w:rPr>
          <w:rFonts w:ascii="Arial" w:hAnsi="Arial" w:cs="Arial"/>
          <w:sz w:val="24"/>
          <w:szCs w:val="24"/>
        </w:rPr>
        <w:t>8</w:t>
      </w:r>
      <w:r w:rsidR="00A07468" w:rsidRPr="006A5EBF">
        <w:rPr>
          <w:rFonts w:ascii="Arial" w:hAnsi="Arial" w:cs="Arial"/>
          <w:sz w:val="24"/>
          <w:szCs w:val="24"/>
        </w:rPr>
        <w:t>. godine.</w:t>
      </w:r>
    </w:p>
    <w:p w:rsidR="00C3100B" w:rsidRPr="006A5EBF" w:rsidRDefault="00C3100B" w:rsidP="00A07468">
      <w:pPr>
        <w:jc w:val="both"/>
        <w:rPr>
          <w:rFonts w:ascii="Arial" w:hAnsi="Arial" w:cs="Arial"/>
          <w:sz w:val="24"/>
          <w:szCs w:val="24"/>
        </w:rPr>
      </w:pPr>
      <w:r w:rsidRPr="006A5EBF">
        <w:rPr>
          <w:rFonts w:ascii="Arial" w:hAnsi="Arial" w:cs="Arial"/>
          <w:sz w:val="24"/>
          <w:szCs w:val="24"/>
        </w:rPr>
        <w:t>Sadržaj i djelokrug rada Hrvatskog povijesnog muzeja:</w:t>
      </w:r>
    </w:p>
    <w:p w:rsidR="00C3100B" w:rsidRPr="006A5EBF" w:rsidRDefault="00C3100B" w:rsidP="00A07468">
      <w:pPr>
        <w:jc w:val="both"/>
        <w:rPr>
          <w:rFonts w:ascii="Arial" w:hAnsi="Arial" w:cs="Arial"/>
          <w:sz w:val="24"/>
          <w:szCs w:val="24"/>
        </w:rPr>
      </w:pPr>
      <w:r w:rsidRPr="006A5EBF">
        <w:rPr>
          <w:rFonts w:ascii="Arial" w:hAnsi="Arial" w:cs="Arial"/>
          <w:sz w:val="24"/>
          <w:szCs w:val="24"/>
        </w:rPr>
        <w:t xml:space="preserve">Hrvatski povijesni muzej javna </w:t>
      </w:r>
      <w:r w:rsidR="00275ACA">
        <w:rPr>
          <w:rFonts w:ascii="Arial" w:hAnsi="Arial" w:cs="Arial"/>
          <w:sz w:val="24"/>
          <w:szCs w:val="24"/>
        </w:rPr>
        <w:t xml:space="preserve">je </w:t>
      </w:r>
      <w:r w:rsidRPr="006A5EBF">
        <w:rPr>
          <w:rFonts w:ascii="Arial" w:hAnsi="Arial" w:cs="Arial"/>
          <w:sz w:val="24"/>
          <w:szCs w:val="24"/>
        </w:rPr>
        <w:t>ustanova u kulturi koja obavlja muzejsko-galerijsku djelatnost u skladu sa Zakonom o muzejima (NN 110/15</w:t>
      </w:r>
      <w:r w:rsidR="006D7B62" w:rsidRPr="006A5EBF">
        <w:rPr>
          <w:rFonts w:ascii="Arial" w:hAnsi="Arial" w:cs="Arial"/>
          <w:sz w:val="24"/>
          <w:szCs w:val="24"/>
        </w:rPr>
        <w:t>, 61/18, 98/19, 114/22</w:t>
      </w:r>
      <w:r w:rsidR="003508FF" w:rsidRPr="006A5EBF">
        <w:rPr>
          <w:rFonts w:ascii="Arial" w:hAnsi="Arial" w:cs="Arial"/>
          <w:sz w:val="24"/>
          <w:szCs w:val="24"/>
        </w:rPr>
        <w:t>, 36/24</w:t>
      </w:r>
      <w:r w:rsidRPr="006A5EBF">
        <w:rPr>
          <w:rFonts w:ascii="Arial" w:hAnsi="Arial" w:cs="Arial"/>
          <w:sz w:val="24"/>
          <w:szCs w:val="24"/>
        </w:rPr>
        <w:t>), Zakonom o ustanovama (NN 76/93, 29/97, 47/99, 35/08</w:t>
      </w:r>
      <w:r w:rsidR="006D7B62" w:rsidRPr="006A5EBF">
        <w:rPr>
          <w:rFonts w:ascii="Arial" w:hAnsi="Arial" w:cs="Arial"/>
          <w:sz w:val="24"/>
          <w:szCs w:val="24"/>
        </w:rPr>
        <w:t>, 127/19, 151/22</w:t>
      </w:r>
      <w:r w:rsidRPr="006A5EBF">
        <w:rPr>
          <w:rFonts w:ascii="Arial" w:hAnsi="Arial" w:cs="Arial"/>
          <w:sz w:val="24"/>
          <w:szCs w:val="24"/>
        </w:rPr>
        <w:t>), Zakonom o upravljanju javnim ustanovama u kulturi (NN 96/01</w:t>
      </w:r>
      <w:r w:rsidR="005B7EE0" w:rsidRPr="006A5EBF">
        <w:rPr>
          <w:rFonts w:ascii="Arial" w:hAnsi="Arial" w:cs="Arial"/>
          <w:sz w:val="24"/>
          <w:szCs w:val="24"/>
        </w:rPr>
        <w:t>, 98/19</w:t>
      </w:r>
      <w:r w:rsidRPr="006A5EBF">
        <w:rPr>
          <w:rFonts w:ascii="Arial" w:hAnsi="Arial" w:cs="Arial"/>
          <w:sz w:val="24"/>
          <w:szCs w:val="24"/>
        </w:rPr>
        <w:t>), Zakonom o zaštiti i očuvanju kulturnih dobara (NN 69/99, 151/03, 157/03, 100/04, 87/09, 88/10, 61/11, 25/12, 136/12, 157/13, 152/14, 98/15</w:t>
      </w:r>
      <w:r w:rsidR="005608AC" w:rsidRPr="006A5EBF">
        <w:rPr>
          <w:rFonts w:ascii="Arial" w:hAnsi="Arial" w:cs="Arial"/>
          <w:sz w:val="24"/>
          <w:szCs w:val="24"/>
        </w:rPr>
        <w:t>, 44/17, 90/18, 32/20, 62/20, 117/21, 114/22</w:t>
      </w:r>
      <w:r w:rsidRPr="006A5EBF">
        <w:rPr>
          <w:rFonts w:ascii="Arial" w:hAnsi="Arial" w:cs="Arial"/>
          <w:sz w:val="24"/>
          <w:szCs w:val="24"/>
        </w:rPr>
        <w:t>) i Statut</w:t>
      </w:r>
      <w:r w:rsidR="00275ACA">
        <w:rPr>
          <w:rFonts w:ascii="Arial" w:hAnsi="Arial" w:cs="Arial"/>
          <w:sz w:val="24"/>
          <w:szCs w:val="24"/>
        </w:rPr>
        <w:t>om</w:t>
      </w:r>
      <w:r w:rsidRPr="006A5EBF">
        <w:rPr>
          <w:rFonts w:ascii="Arial" w:hAnsi="Arial" w:cs="Arial"/>
          <w:sz w:val="24"/>
          <w:szCs w:val="24"/>
        </w:rPr>
        <w:t xml:space="preserve"> Muzeja.</w:t>
      </w:r>
    </w:p>
    <w:p w:rsidR="00A07468" w:rsidRPr="006A5EBF" w:rsidRDefault="00A07468" w:rsidP="00A07468">
      <w:pPr>
        <w:jc w:val="both"/>
        <w:rPr>
          <w:rFonts w:ascii="Arial" w:hAnsi="Arial" w:cs="Arial"/>
          <w:sz w:val="24"/>
          <w:szCs w:val="24"/>
        </w:rPr>
      </w:pPr>
      <w:r w:rsidRPr="006A5EBF">
        <w:rPr>
          <w:rFonts w:ascii="Arial" w:hAnsi="Arial" w:cs="Arial"/>
          <w:sz w:val="24"/>
          <w:szCs w:val="24"/>
        </w:rPr>
        <w:t xml:space="preserve">Osnivač Muzeja je Republika Hrvatska. </w:t>
      </w:r>
    </w:p>
    <w:p w:rsidR="00A07468" w:rsidRPr="006A5EBF" w:rsidRDefault="00A07468" w:rsidP="00A07468">
      <w:pPr>
        <w:jc w:val="both"/>
        <w:rPr>
          <w:rFonts w:ascii="Arial" w:hAnsi="Arial" w:cs="Arial"/>
          <w:sz w:val="24"/>
          <w:szCs w:val="24"/>
        </w:rPr>
      </w:pPr>
      <w:r w:rsidRPr="006A5EBF">
        <w:rPr>
          <w:rFonts w:ascii="Arial" w:hAnsi="Arial" w:cs="Arial"/>
          <w:sz w:val="24"/>
          <w:szCs w:val="24"/>
        </w:rPr>
        <w:t xml:space="preserve">U obavljanju muzejske djelatnosti Hrvatski povijesni muzej: </w:t>
      </w:r>
    </w:p>
    <w:p w:rsidR="00A07468" w:rsidRPr="006A5EBF" w:rsidRDefault="00A07468" w:rsidP="00A07468">
      <w:pPr>
        <w:ind w:left="708"/>
        <w:jc w:val="both"/>
        <w:rPr>
          <w:rFonts w:ascii="Arial" w:hAnsi="Arial" w:cs="Arial"/>
          <w:sz w:val="24"/>
          <w:szCs w:val="24"/>
        </w:rPr>
      </w:pPr>
      <w:r w:rsidRPr="006A5EBF">
        <w:rPr>
          <w:rFonts w:ascii="Arial" w:hAnsi="Arial" w:cs="Arial"/>
          <w:sz w:val="24"/>
          <w:szCs w:val="24"/>
        </w:rPr>
        <w:t>1.</w:t>
      </w:r>
      <w:r w:rsidR="00275ACA">
        <w:rPr>
          <w:rFonts w:ascii="Arial" w:hAnsi="Arial" w:cs="Arial"/>
          <w:sz w:val="24"/>
          <w:szCs w:val="24"/>
        </w:rPr>
        <w:t xml:space="preserve"> </w:t>
      </w:r>
      <w:r w:rsidRPr="006A5EBF">
        <w:rPr>
          <w:rFonts w:ascii="Arial" w:hAnsi="Arial" w:cs="Arial"/>
          <w:sz w:val="24"/>
          <w:szCs w:val="24"/>
        </w:rPr>
        <w:t>prikuplja muzejsku građu i muzejsku dokumentaciju sukladno svojoj misiji i politici skupljanja</w:t>
      </w:r>
    </w:p>
    <w:p w:rsidR="00A07468" w:rsidRPr="006A5EBF" w:rsidRDefault="00A07468" w:rsidP="00A07468">
      <w:pPr>
        <w:ind w:left="708"/>
        <w:jc w:val="both"/>
        <w:rPr>
          <w:rFonts w:ascii="Arial" w:hAnsi="Arial" w:cs="Arial"/>
          <w:sz w:val="24"/>
          <w:szCs w:val="24"/>
        </w:rPr>
      </w:pPr>
      <w:r w:rsidRPr="006A5EBF">
        <w:rPr>
          <w:rFonts w:ascii="Arial" w:hAnsi="Arial" w:cs="Arial"/>
          <w:sz w:val="24"/>
          <w:szCs w:val="24"/>
        </w:rPr>
        <w:t>2. čuva muzejske predmete u odgovarajućim uvjetima i štiti cjelokupnu muzejsku građu i muzejsku dokumentaciju, u svrhu obrazovanja, proučavanja i uživanja u skladu s propisima o zaštiti i očuvanju kulturnih dobara</w:t>
      </w:r>
    </w:p>
    <w:p w:rsidR="00A07468" w:rsidRPr="006A5EBF" w:rsidRDefault="00A07468" w:rsidP="00A07468">
      <w:pPr>
        <w:ind w:left="708"/>
        <w:jc w:val="both"/>
        <w:rPr>
          <w:rFonts w:ascii="Arial" w:hAnsi="Arial" w:cs="Arial"/>
          <w:sz w:val="24"/>
          <w:szCs w:val="24"/>
        </w:rPr>
      </w:pPr>
      <w:r w:rsidRPr="006A5EBF">
        <w:rPr>
          <w:rFonts w:ascii="Arial" w:hAnsi="Arial" w:cs="Arial"/>
          <w:sz w:val="24"/>
          <w:szCs w:val="24"/>
        </w:rPr>
        <w:t xml:space="preserve">3. vodi propisanu muzejsku dokumentaciju o muzejskim predmetima, zbirkama i aktivnostima </w:t>
      </w:r>
      <w:r w:rsidR="00275ACA">
        <w:rPr>
          <w:rFonts w:ascii="Arial" w:hAnsi="Arial" w:cs="Arial"/>
          <w:sz w:val="24"/>
          <w:szCs w:val="24"/>
        </w:rPr>
        <w:t>M</w:t>
      </w:r>
      <w:r w:rsidRPr="006A5EBF">
        <w:rPr>
          <w:rFonts w:ascii="Arial" w:hAnsi="Arial" w:cs="Arial"/>
          <w:sz w:val="24"/>
          <w:szCs w:val="24"/>
        </w:rPr>
        <w:t>uzeja</w:t>
      </w:r>
    </w:p>
    <w:p w:rsidR="00A07468" w:rsidRPr="006A5EBF" w:rsidRDefault="00A07468" w:rsidP="00A0746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5EBF">
        <w:rPr>
          <w:rFonts w:ascii="Arial" w:hAnsi="Arial" w:cs="Arial"/>
          <w:sz w:val="24"/>
          <w:szCs w:val="24"/>
        </w:rPr>
        <w:t>4. organizira stalne i povremene izložbe</w:t>
      </w:r>
    </w:p>
    <w:p w:rsidR="00A07468" w:rsidRPr="006A5EBF" w:rsidRDefault="00A07468" w:rsidP="00A07468">
      <w:pPr>
        <w:ind w:left="708"/>
        <w:jc w:val="both"/>
        <w:rPr>
          <w:rFonts w:ascii="Arial" w:hAnsi="Arial" w:cs="Arial"/>
          <w:sz w:val="24"/>
          <w:szCs w:val="24"/>
        </w:rPr>
      </w:pPr>
      <w:r w:rsidRPr="006A5EBF">
        <w:rPr>
          <w:rFonts w:ascii="Arial" w:hAnsi="Arial" w:cs="Arial"/>
          <w:sz w:val="24"/>
          <w:szCs w:val="24"/>
        </w:rPr>
        <w:t xml:space="preserve">5. organizira istraživanja, izdavačku djelatnost, predavanja, konferencije i stručne skupove te organizira edukativne aktivnosti i radionice </w:t>
      </w:r>
    </w:p>
    <w:p w:rsidR="00A07468" w:rsidRPr="006A5EBF" w:rsidRDefault="00A07468" w:rsidP="00A0746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5EBF">
        <w:rPr>
          <w:rFonts w:ascii="Arial" w:hAnsi="Arial" w:cs="Arial"/>
          <w:sz w:val="24"/>
          <w:szCs w:val="24"/>
        </w:rPr>
        <w:t>6. podržava i organizira umjetnička i kulturna događanja u okviru svo</w:t>
      </w:r>
      <w:r w:rsidR="00275ACA">
        <w:rPr>
          <w:rFonts w:ascii="Arial" w:hAnsi="Arial" w:cs="Arial"/>
          <w:sz w:val="24"/>
          <w:szCs w:val="24"/>
        </w:rPr>
        <w:t>jeg</w:t>
      </w:r>
      <w:r w:rsidRPr="006A5EBF">
        <w:rPr>
          <w:rFonts w:ascii="Arial" w:hAnsi="Arial" w:cs="Arial"/>
          <w:sz w:val="24"/>
          <w:szCs w:val="24"/>
        </w:rPr>
        <w:t xml:space="preserve"> djelokruga </w:t>
      </w:r>
    </w:p>
    <w:p w:rsidR="00A07468" w:rsidRPr="006A5EBF" w:rsidRDefault="00A07468" w:rsidP="00A07468">
      <w:pPr>
        <w:ind w:left="708"/>
        <w:jc w:val="both"/>
        <w:rPr>
          <w:rFonts w:ascii="Arial" w:hAnsi="Arial" w:cs="Arial"/>
          <w:sz w:val="24"/>
          <w:szCs w:val="24"/>
        </w:rPr>
      </w:pPr>
      <w:r w:rsidRPr="006A5EBF">
        <w:rPr>
          <w:rFonts w:ascii="Arial" w:hAnsi="Arial" w:cs="Arial"/>
          <w:sz w:val="24"/>
          <w:szCs w:val="24"/>
        </w:rPr>
        <w:t xml:space="preserve">7. osigurava da poslove upravljanja muzejskom zbirkom obavljaju stručni muzejski djelatnici sukladno standardima </w:t>
      </w:r>
    </w:p>
    <w:p w:rsidR="00A07468" w:rsidRPr="006A5EBF" w:rsidRDefault="00A07468" w:rsidP="00A0746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5EBF">
        <w:rPr>
          <w:rFonts w:ascii="Arial" w:hAnsi="Arial" w:cs="Arial"/>
          <w:sz w:val="24"/>
          <w:szCs w:val="24"/>
        </w:rPr>
        <w:lastRenderedPageBreak/>
        <w:t>8. osigurava dostupnost zbirki u obrazovne, stručne i znanstvene svrhe</w:t>
      </w:r>
    </w:p>
    <w:p w:rsidR="00275ACA" w:rsidRDefault="00A07468" w:rsidP="00275AC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5EBF">
        <w:rPr>
          <w:rFonts w:ascii="Arial" w:hAnsi="Arial" w:cs="Arial"/>
          <w:sz w:val="24"/>
          <w:szCs w:val="24"/>
        </w:rPr>
        <w:t>9. osigurava prihvatljivo okruženje za javnost i dostupnost građe</w:t>
      </w:r>
    </w:p>
    <w:p w:rsidR="00A07468" w:rsidRPr="006A5EBF" w:rsidRDefault="00A07468" w:rsidP="00275AC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5EBF">
        <w:rPr>
          <w:rFonts w:ascii="Arial" w:hAnsi="Arial" w:cs="Arial"/>
          <w:sz w:val="24"/>
          <w:szCs w:val="24"/>
        </w:rPr>
        <w:t>10. provodi digitalizaciju muzejske građe</w:t>
      </w:r>
    </w:p>
    <w:p w:rsidR="00A07468" w:rsidRPr="006A5EBF" w:rsidRDefault="00A07468" w:rsidP="00A07468">
      <w:pPr>
        <w:ind w:left="708"/>
        <w:jc w:val="both"/>
        <w:rPr>
          <w:rFonts w:ascii="Arial" w:hAnsi="Arial" w:cs="Arial"/>
          <w:sz w:val="24"/>
          <w:szCs w:val="24"/>
        </w:rPr>
      </w:pPr>
      <w:r w:rsidRPr="006A5EBF">
        <w:rPr>
          <w:rFonts w:ascii="Arial" w:hAnsi="Arial" w:cs="Arial"/>
          <w:sz w:val="24"/>
          <w:szCs w:val="24"/>
        </w:rPr>
        <w:t xml:space="preserve">11. obavlja reviziju muzejske građe u </w:t>
      </w:r>
      <w:r w:rsidR="00275ACA">
        <w:rPr>
          <w:rFonts w:ascii="Arial" w:hAnsi="Arial" w:cs="Arial"/>
          <w:sz w:val="24"/>
          <w:szCs w:val="24"/>
        </w:rPr>
        <w:t>M</w:t>
      </w:r>
      <w:r w:rsidRPr="006A5EBF">
        <w:rPr>
          <w:rFonts w:ascii="Arial" w:hAnsi="Arial" w:cs="Arial"/>
          <w:sz w:val="24"/>
          <w:szCs w:val="24"/>
        </w:rPr>
        <w:t>uzeju i dostavlja o tome izvješće ministarstvu nadležnom za poslove kulture i osnivaču</w:t>
      </w:r>
    </w:p>
    <w:p w:rsidR="00A07468" w:rsidRPr="006A5EBF" w:rsidRDefault="00A07468" w:rsidP="00A07468">
      <w:pPr>
        <w:ind w:left="708"/>
        <w:jc w:val="both"/>
        <w:rPr>
          <w:rFonts w:ascii="Arial" w:hAnsi="Arial" w:cs="Arial"/>
          <w:sz w:val="24"/>
          <w:szCs w:val="24"/>
        </w:rPr>
      </w:pPr>
      <w:r w:rsidRPr="006A5EBF">
        <w:rPr>
          <w:rFonts w:ascii="Arial" w:hAnsi="Arial" w:cs="Arial"/>
          <w:sz w:val="24"/>
          <w:szCs w:val="24"/>
        </w:rPr>
        <w:t xml:space="preserve">12. obavlja procjenu povijesne, znanstvene, umjetničke i tržišne vrijednosti muzejske građe za potrebe upravljanja imovinom, za osiguranje i otkup </w:t>
      </w:r>
    </w:p>
    <w:p w:rsidR="00A07468" w:rsidRPr="006A5EBF" w:rsidRDefault="00A07468" w:rsidP="00A07468">
      <w:pPr>
        <w:ind w:left="708"/>
        <w:jc w:val="both"/>
        <w:rPr>
          <w:rFonts w:ascii="Arial" w:hAnsi="Arial" w:cs="Arial"/>
          <w:sz w:val="24"/>
          <w:szCs w:val="24"/>
        </w:rPr>
      </w:pPr>
      <w:r w:rsidRPr="006A5EBF">
        <w:rPr>
          <w:rFonts w:ascii="Arial" w:hAnsi="Arial" w:cs="Arial"/>
          <w:sz w:val="24"/>
          <w:szCs w:val="24"/>
        </w:rPr>
        <w:t>13. izrađuje stručna mišljenja, vještačenja i elaborate o muzejskome predmetu, građi, zbirci o kojoj skrbi i drugim kulturnim dobrima te dijelovima prirode</w:t>
      </w:r>
    </w:p>
    <w:p w:rsidR="00A07468" w:rsidRPr="006A5EBF" w:rsidRDefault="00A07468" w:rsidP="00A07468">
      <w:pPr>
        <w:ind w:left="708"/>
        <w:jc w:val="both"/>
        <w:rPr>
          <w:rFonts w:ascii="Arial" w:hAnsi="Arial" w:cs="Arial"/>
          <w:sz w:val="24"/>
          <w:szCs w:val="24"/>
        </w:rPr>
      </w:pPr>
      <w:r w:rsidRPr="006A5EBF">
        <w:rPr>
          <w:rFonts w:ascii="Arial" w:hAnsi="Arial" w:cs="Arial"/>
          <w:sz w:val="24"/>
          <w:szCs w:val="24"/>
        </w:rPr>
        <w:t xml:space="preserve">14. može organizirati izradu i prodaju suvenira i predmeta te izdavanje i prodaju publikacija tematski vezanih uz fundus i program </w:t>
      </w:r>
      <w:r w:rsidR="00275ACA">
        <w:rPr>
          <w:rFonts w:ascii="Arial" w:hAnsi="Arial" w:cs="Arial"/>
          <w:sz w:val="24"/>
          <w:szCs w:val="24"/>
        </w:rPr>
        <w:t>M</w:t>
      </w:r>
      <w:r w:rsidRPr="006A5EBF">
        <w:rPr>
          <w:rFonts w:ascii="Arial" w:hAnsi="Arial" w:cs="Arial"/>
          <w:sz w:val="24"/>
          <w:szCs w:val="24"/>
        </w:rPr>
        <w:t>uzeja</w:t>
      </w:r>
    </w:p>
    <w:p w:rsidR="00A07468" w:rsidRPr="006A5EBF" w:rsidRDefault="00A07468" w:rsidP="00A07468">
      <w:pPr>
        <w:rPr>
          <w:rFonts w:ascii="Arial" w:hAnsi="Arial" w:cs="Arial"/>
          <w:sz w:val="24"/>
          <w:szCs w:val="24"/>
        </w:rPr>
      </w:pPr>
      <w:r w:rsidRPr="006A5EBF">
        <w:rPr>
          <w:rFonts w:ascii="Arial" w:hAnsi="Arial" w:cs="Arial"/>
          <w:sz w:val="24"/>
          <w:szCs w:val="24"/>
        </w:rPr>
        <w:tab/>
        <w:t>15. obavlja i druge djelatnosti sukladno Zakonu o muzejima i posebnom zakonu</w:t>
      </w:r>
      <w:r w:rsidR="00C3100B" w:rsidRPr="006A5EBF">
        <w:rPr>
          <w:rFonts w:ascii="Arial" w:hAnsi="Arial" w:cs="Arial"/>
          <w:sz w:val="24"/>
          <w:szCs w:val="24"/>
        </w:rPr>
        <w:t>.</w:t>
      </w:r>
    </w:p>
    <w:p w:rsidR="00C3100B" w:rsidRPr="006A5EBF" w:rsidRDefault="00C3100B" w:rsidP="00A07468">
      <w:pPr>
        <w:rPr>
          <w:rFonts w:ascii="Arial" w:hAnsi="Arial" w:cs="Arial"/>
          <w:sz w:val="24"/>
          <w:szCs w:val="24"/>
        </w:rPr>
      </w:pPr>
    </w:p>
    <w:p w:rsidR="00C3100B" w:rsidRPr="006A5EBF" w:rsidRDefault="000C6B3F" w:rsidP="00F50C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Financijskom </w:t>
      </w:r>
      <w:r w:rsidR="00C3100B" w:rsidRPr="006A5EBF">
        <w:rPr>
          <w:rFonts w:ascii="Arial" w:hAnsi="Arial" w:cs="Arial"/>
          <w:sz w:val="24"/>
          <w:szCs w:val="24"/>
        </w:rPr>
        <w:t>plan</w:t>
      </w:r>
      <w:r>
        <w:rPr>
          <w:rFonts w:ascii="Arial" w:hAnsi="Arial" w:cs="Arial"/>
          <w:sz w:val="24"/>
          <w:szCs w:val="24"/>
        </w:rPr>
        <w:t>om</w:t>
      </w:r>
      <w:r w:rsidR="00C338CE">
        <w:rPr>
          <w:rFonts w:ascii="Arial" w:hAnsi="Arial" w:cs="Arial"/>
          <w:sz w:val="24"/>
          <w:szCs w:val="24"/>
        </w:rPr>
        <w:t xml:space="preserve"> </w:t>
      </w:r>
      <w:r w:rsidR="002207F4" w:rsidRPr="006A5EBF">
        <w:rPr>
          <w:rFonts w:ascii="Arial" w:hAnsi="Arial" w:cs="Arial"/>
          <w:sz w:val="24"/>
          <w:szCs w:val="24"/>
        </w:rPr>
        <w:t xml:space="preserve">Hrvatskog povijesnog muzeja </w:t>
      </w:r>
      <w:r w:rsidR="00593086" w:rsidRPr="006A5EBF">
        <w:rPr>
          <w:rFonts w:ascii="Arial" w:hAnsi="Arial" w:cs="Arial"/>
          <w:sz w:val="24"/>
          <w:szCs w:val="24"/>
        </w:rPr>
        <w:t xml:space="preserve">za </w:t>
      </w:r>
      <w:r w:rsidR="00C3100B" w:rsidRPr="006A5EBF">
        <w:rPr>
          <w:rFonts w:ascii="Arial" w:hAnsi="Arial" w:cs="Arial"/>
          <w:sz w:val="24"/>
          <w:szCs w:val="24"/>
        </w:rPr>
        <w:t>razdoblje od 202</w:t>
      </w:r>
      <w:r w:rsidR="00241BFD" w:rsidRPr="006A5EBF">
        <w:rPr>
          <w:rFonts w:ascii="Arial" w:hAnsi="Arial" w:cs="Arial"/>
          <w:sz w:val="24"/>
          <w:szCs w:val="24"/>
        </w:rPr>
        <w:t>6</w:t>
      </w:r>
      <w:r w:rsidR="00C3100B" w:rsidRPr="006A5EBF">
        <w:rPr>
          <w:rFonts w:ascii="Arial" w:hAnsi="Arial" w:cs="Arial"/>
          <w:sz w:val="24"/>
          <w:szCs w:val="24"/>
        </w:rPr>
        <w:t>. godine do 202</w:t>
      </w:r>
      <w:r w:rsidR="00241BFD" w:rsidRPr="006A5EBF">
        <w:rPr>
          <w:rFonts w:ascii="Arial" w:hAnsi="Arial" w:cs="Arial"/>
          <w:sz w:val="24"/>
          <w:szCs w:val="24"/>
        </w:rPr>
        <w:t>8</w:t>
      </w:r>
      <w:r w:rsidR="00C3100B" w:rsidRPr="006A5EBF">
        <w:rPr>
          <w:rFonts w:ascii="Arial" w:hAnsi="Arial" w:cs="Arial"/>
          <w:sz w:val="24"/>
          <w:szCs w:val="24"/>
        </w:rPr>
        <w:t>. godine</w:t>
      </w:r>
      <w:r w:rsidR="002207F4" w:rsidRPr="006A5EBF">
        <w:rPr>
          <w:rFonts w:ascii="Arial" w:hAnsi="Arial" w:cs="Arial"/>
          <w:sz w:val="24"/>
          <w:szCs w:val="24"/>
        </w:rPr>
        <w:t xml:space="preserve"> obuhvaćeni su prihodi i primitci, rashodi i izda</w:t>
      </w:r>
      <w:r w:rsidR="00275ACA">
        <w:rPr>
          <w:rFonts w:ascii="Arial" w:hAnsi="Arial" w:cs="Arial"/>
          <w:sz w:val="24"/>
          <w:szCs w:val="24"/>
        </w:rPr>
        <w:t>t</w:t>
      </w:r>
      <w:r w:rsidR="002207F4" w:rsidRPr="006A5EBF">
        <w:rPr>
          <w:rFonts w:ascii="Arial" w:hAnsi="Arial" w:cs="Arial"/>
          <w:sz w:val="24"/>
          <w:szCs w:val="24"/>
        </w:rPr>
        <w:t xml:space="preserve">ci za redovnu </w:t>
      </w:r>
      <w:r w:rsidR="001D70BF">
        <w:rPr>
          <w:rFonts w:ascii="Arial" w:hAnsi="Arial" w:cs="Arial"/>
          <w:sz w:val="24"/>
          <w:szCs w:val="24"/>
        </w:rPr>
        <w:t xml:space="preserve">i </w:t>
      </w:r>
      <w:r w:rsidR="002207F4" w:rsidRPr="006A5EBF">
        <w:rPr>
          <w:rFonts w:ascii="Arial" w:hAnsi="Arial" w:cs="Arial"/>
          <w:sz w:val="24"/>
          <w:szCs w:val="24"/>
        </w:rPr>
        <w:t>programsku djelatnost</w:t>
      </w:r>
      <w:r>
        <w:rPr>
          <w:rFonts w:ascii="Arial" w:hAnsi="Arial" w:cs="Arial"/>
          <w:sz w:val="24"/>
          <w:szCs w:val="24"/>
        </w:rPr>
        <w:t xml:space="preserve"> </w:t>
      </w:r>
      <w:r w:rsidR="002207F4" w:rsidRPr="006A5EBF">
        <w:rPr>
          <w:rFonts w:ascii="Arial" w:hAnsi="Arial" w:cs="Arial"/>
          <w:sz w:val="24"/>
          <w:szCs w:val="24"/>
        </w:rPr>
        <w:t>iskazani po izvorima financiranja i proračunskim klasifikacijama</w:t>
      </w:r>
      <w:r w:rsidR="00C3100B" w:rsidRPr="006A5EBF">
        <w:rPr>
          <w:rFonts w:ascii="Arial" w:hAnsi="Arial" w:cs="Arial"/>
          <w:sz w:val="24"/>
          <w:szCs w:val="24"/>
        </w:rPr>
        <w:t>:</w:t>
      </w:r>
    </w:p>
    <w:p w:rsidR="00F378A0" w:rsidRPr="006A5EBF" w:rsidRDefault="00DA5D32" w:rsidP="00F3297B">
      <w:pPr>
        <w:jc w:val="both"/>
        <w:rPr>
          <w:rFonts w:ascii="Arial" w:hAnsi="Arial" w:cs="Arial"/>
          <w:sz w:val="24"/>
          <w:szCs w:val="24"/>
        </w:rPr>
      </w:pPr>
      <w:r w:rsidRPr="006A5EBF">
        <w:rPr>
          <w:rFonts w:ascii="Arial" w:hAnsi="Arial" w:cs="Arial"/>
          <w:sz w:val="24"/>
          <w:szCs w:val="24"/>
        </w:rPr>
        <w:t>Ukupno planirani prihodi za 202</w:t>
      </w:r>
      <w:r w:rsidR="00241BFD" w:rsidRPr="006A5EBF">
        <w:rPr>
          <w:rFonts w:ascii="Arial" w:hAnsi="Arial" w:cs="Arial"/>
          <w:sz w:val="24"/>
          <w:szCs w:val="24"/>
        </w:rPr>
        <w:t>6</w:t>
      </w:r>
      <w:r w:rsidRPr="006A5EBF">
        <w:rPr>
          <w:rFonts w:ascii="Arial" w:hAnsi="Arial" w:cs="Arial"/>
          <w:sz w:val="24"/>
          <w:szCs w:val="24"/>
        </w:rPr>
        <w:t>. godinu iznose</w:t>
      </w:r>
      <w:r w:rsidR="00241BFD" w:rsidRPr="006A5EBF">
        <w:rPr>
          <w:rFonts w:ascii="Arial" w:hAnsi="Arial" w:cs="Arial"/>
          <w:sz w:val="24"/>
          <w:szCs w:val="24"/>
        </w:rPr>
        <w:t xml:space="preserve"> 6.797.258,75 </w:t>
      </w:r>
      <w:r w:rsidRPr="006A5EBF">
        <w:rPr>
          <w:rFonts w:ascii="Arial" w:hAnsi="Arial" w:cs="Arial"/>
          <w:sz w:val="24"/>
          <w:szCs w:val="24"/>
        </w:rPr>
        <w:t>eura. Ostvaruju se iz izvora 11, 31, 43</w:t>
      </w:r>
      <w:r w:rsidR="00241BFD" w:rsidRPr="006A5EBF">
        <w:rPr>
          <w:rFonts w:ascii="Arial" w:hAnsi="Arial" w:cs="Arial"/>
          <w:sz w:val="24"/>
          <w:szCs w:val="24"/>
        </w:rPr>
        <w:t>,</w:t>
      </w:r>
      <w:r w:rsidR="009760CA" w:rsidRPr="006A5EBF">
        <w:rPr>
          <w:rFonts w:ascii="Arial" w:hAnsi="Arial" w:cs="Arial"/>
          <w:sz w:val="24"/>
          <w:szCs w:val="24"/>
        </w:rPr>
        <w:t xml:space="preserve"> </w:t>
      </w:r>
      <w:r w:rsidRPr="006A5EBF">
        <w:rPr>
          <w:rFonts w:ascii="Arial" w:hAnsi="Arial" w:cs="Arial"/>
          <w:sz w:val="24"/>
          <w:szCs w:val="24"/>
        </w:rPr>
        <w:t>52</w:t>
      </w:r>
      <w:r w:rsidR="00241BFD" w:rsidRPr="006A5EBF">
        <w:rPr>
          <w:rFonts w:ascii="Arial" w:hAnsi="Arial" w:cs="Arial"/>
          <w:sz w:val="24"/>
          <w:szCs w:val="24"/>
        </w:rPr>
        <w:t xml:space="preserve"> i 50815</w:t>
      </w:r>
      <w:r w:rsidRPr="006A5EBF">
        <w:rPr>
          <w:rFonts w:ascii="Arial" w:hAnsi="Arial" w:cs="Arial"/>
          <w:sz w:val="24"/>
          <w:szCs w:val="24"/>
        </w:rPr>
        <w:t xml:space="preserve">. Iz izvora 11 ukupno planirani prihodi </w:t>
      </w:r>
      <w:r w:rsidR="00F378A0" w:rsidRPr="006A5EBF">
        <w:rPr>
          <w:rFonts w:ascii="Arial" w:hAnsi="Arial" w:cs="Arial"/>
          <w:sz w:val="24"/>
          <w:szCs w:val="24"/>
        </w:rPr>
        <w:t xml:space="preserve">za redovnu djelatnost iznose </w:t>
      </w:r>
      <w:r w:rsidR="00B55DF0" w:rsidRPr="006A5EBF">
        <w:rPr>
          <w:rFonts w:ascii="Arial" w:hAnsi="Arial" w:cs="Arial"/>
          <w:sz w:val="24"/>
          <w:szCs w:val="24"/>
        </w:rPr>
        <w:t xml:space="preserve">1.552.526,00 </w:t>
      </w:r>
      <w:r w:rsidR="00F378A0" w:rsidRPr="006A5EBF">
        <w:rPr>
          <w:rFonts w:ascii="Arial" w:hAnsi="Arial" w:cs="Arial"/>
          <w:sz w:val="24"/>
          <w:szCs w:val="24"/>
        </w:rPr>
        <w:t xml:space="preserve">eura, a za programsku djelatnost </w:t>
      </w:r>
      <w:r w:rsidR="00B55DF0" w:rsidRPr="006A5EBF">
        <w:rPr>
          <w:rFonts w:ascii="Arial" w:hAnsi="Arial" w:cs="Arial"/>
          <w:sz w:val="24"/>
          <w:szCs w:val="24"/>
        </w:rPr>
        <w:t>208.432,00</w:t>
      </w:r>
      <w:r w:rsidR="003508FF" w:rsidRPr="006A5EBF">
        <w:rPr>
          <w:rFonts w:ascii="Arial" w:hAnsi="Arial" w:cs="Arial"/>
          <w:sz w:val="24"/>
          <w:szCs w:val="24"/>
        </w:rPr>
        <w:t xml:space="preserve"> </w:t>
      </w:r>
      <w:r w:rsidR="00F378A0" w:rsidRPr="006A5EBF">
        <w:rPr>
          <w:rFonts w:ascii="Arial" w:hAnsi="Arial" w:cs="Arial"/>
          <w:sz w:val="24"/>
          <w:szCs w:val="24"/>
        </w:rPr>
        <w:t xml:space="preserve">eura. Iz izvora 31 ukupno planirani prihodi za redovnu djelatnost iznose </w:t>
      </w:r>
      <w:r w:rsidR="003508FF" w:rsidRPr="006A5EBF">
        <w:rPr>
          <w:rFonts w:ascii="Arial" w:hAnsi="Arial" w:cs="Arial"/>
          <w:sz w:val="24"/>
          <w:szCs w:val="24"/>
        </w:rPr>
        <w:t xml:space="preserve">37.011,84 </w:t>
      </w:r>
      <w:r w:rsidR="00F378A0" w:rsidRPr="006A5EBF">
        <w:rPr>
          <w:rFonts w:ascii="Arial" w:hAnsi="Arial" w:cs="Arial"/>
          <w:sz w:val="24"/>
          <w:szCs w:val="24"/>
        </w:rPr>
        <w:t>eura</w:t>
      </w:r>
      <w:r w:rsidR="009760CA" w:rsidRPr="006A5EBF">
        <w:rPr>
          <w:rFonts w:ascii="Arial" w:hAnsi="Arial" w:cs="Arial"/>
          <w:sz w:val="24"/>
          <w:szCs w:val="24"/>
        </w:rPr>
        <w:t xml:space="preserve">, </w:t>
      </w:r>
      <w:r w:rsidR="00F378A0" w:rsidRPr="006A5EBF">
        <w:rPr>
          <w:rFonts w:ascii="Arial" w:hAnsi="Arial" w:cs="Arial"/>
          <w:sz w:val="24"/>
          <w:szCs w:val="24"/>
        </w:rPr>
        <w:t>iz izvora 43 ukupno planirani prihodi za redovnu djelatnost iznose 6.868,91 eur</w:t>
      </w:r>
      <w:r w:rsidR="00544A3B" w:rsidRPr="006A5EBF">
        <w:rPr>
          <w:rFonts w:ascii="Arial" w:hAnsi="Arial" w:cs="Arial"/>
          <w:sz w:val="24"/>
          <w:szCs w:val="24"/>
        </w:rPr>
        <w:t>o</w:t>
      </w:r>
      <w:r w:rsidR="00F378A0" w:rsidRPr="006A5EBF">
        <w:rPr>
          <w:rFonts w:ascii="Arial" w:hAnsi="Arial" w:cs="Arial"/>
          <w:sz w:val="24"/>
          <w:szCs w:val="24"/>
        </w:rPr>
        <w:t xml:space="preserve">. Iz izvora 52 ukupno planirani prihodi za programsku djelatnost </w:t>
      </w:r>
      <w:r w:rsidR="003508FF" w:rsidRPr="006A5EBF">
        <w:rPr>
          <w:rFonts w:ascii="Arial" w:hAnsi="Arial" w:cs="Arial"/>
          <w:sz w:val="24"/>
          <w:szCs w:val="24"/>
        </w:rPr>
        <w:t xml:space="preserve">financirani od Grada Zagreba </w:t>
      </w:r>
      <w:r w:rsidR="00F378A0" w:rsidRPr="006A5EBF">
        <w:rPr>
          <w:rFonts w:ascii="Arial" w:hAnsi="Arial" w:cs="Arial"/>
          <w:sz w:val="24"/>
          <w:szCs w:val="24"/>
        </w:rPr>
        <w:t xml:space="preserve">iznose </w:t>
      </w:r>
      <w:r w:rsidR="003508FF" w:rsidRPr="006A5EBF">
        <w:rPr>
          <w:rFonts w:ascii="Arial" w:hAnsi="Arial" w:cs="Arial"/>
          <w:sz w:val="24"/>
          <w:szCs w:val="24"/>
        </w:rPr>
        <w:t>7</w:t>
      </w:r>
      <w:r w:rsidR="00C2130A" w:rsidRPr="006A5EBF">
        <w:rPr>
          <w:rFonts w:ascii="Arial" w:hAnsi="Arial" w:cs="Arial"/>
          <w:sz w:val="24"/>
          <w:szCs w:val="24"/>
        </w:rPr>
        <w:t>7</w:t>
      </w:r>
      <w:r w:rsidR="003508FF" w:rsidRPr="006A5EBF">
        <w:rPr>
          <w:rFonts w:ascii="Arial" w:hAnsi="Arial" w:cs="Arial"/>
          <w:sz w:val="24"/>
          <w:szCs w:val="24"/>
        </w:rPr>
        <w:t>.250,00</w:t>
      </w:r>
      <w:r w:rsidR="00F378A0" w:rsidRPr="006A5EBF">
        <w:rPr>
          <w:rFonts w:ascii="Arial" w:hAnsi="Arial" w:cs="Arial"/>
          <w:sz w:val="24"/>
          <w:szCs w:val="24"/>
        </w:rPr>
        <w:t xml:space="preserve"> eura</w:t>
      </w:r>
      <w:r w:rsidR="0030526D" w:rsidRPr="006A5EBF">
        <w:rPr>
          <w:rFonts w:ascii="Arial" w:hAnsi="Arial" w:cs="Arial"/>
          <w:sz w:val="24"/>
          <w:szCs w:val="24"/>
        </w:rPr>
        <w:t xml:space="preserve">. Iz </w:t>
      </w:r>
      <w:r w:rsidR="0030526D" w:rsidRPr="00273FEE">
        <w:rPr>
          <w:rFonts w:ascii="Arial" w:hAnsi="Arial" w:cs="Arial"/>
          <w:sz w:val="24"/>
          <w:szCs w:val="24"/>
        </w:rPr>
        <w:t xml:space="preserve">izvora 50815 </w:t>
      </w:r>
      <w:r w:rsidR="00275ACA" w:rsidRPr="00273FEE">
        <w:rPr>
          <w:rFonts w:ascii="Arial" w:hAnsi="Arial" w:cs="Arial"/>
          <w:sz w:val="24"/>
          <w:szCs w:val="24"/>
        </w:rPr>
        <w:t>(M</w:t>
      </w:r>
      <w:r w:rsidR="0030526D" w:rsidRPr="00273FEE">
        <w:rPr>
          <w:rFonts w:ascii="Arial" w:hAnsi="Arial" w:cs="Arial"/>
          <w:sz w:val="24"/>
          <w:szCs w:val="24"/>
        </w:rPr>
        <w:t xml:space="preserve">ehanizam za oporavak i odgovornost </w:t>
      </w:r>
      <w:r w:rsidR="00275ACA" w:rsidRPr="00273FEE">
        <w:rPr>
          <w:rFonts w:ascii="Arial" w:hAnsi="Arial" w:cs="Arial"/>
          <w:sz w:val="24"/>
          <w:szCs w:val="24"/>
        </w:rPr>
        <w:t xml:space="preserve">– </w:t>
      </w:r>
      <w:r w:rsidR="0030526D" w:rsidRPr="00273FEE">
        <w:rPr>
          <w:rFonts w:ascii="Arial" w:hAnsi="Arial" w:cs="Arial"/>
          <w:sz w:val="24"/>
          <w:szCs w:val="24"/>
        </w:rPr>
        <w:t>NPOO) ukupno planirani</w:t>
      </w:r>
      <w:r w:rsidR="00275ACA" w:rsidRPr="00273FEE">
        <w:rPr>
          <w:rFonts w:ascii="Arial" w:hAnsi="Arial" w:cs="Arial"/>
          <w:sz w:val="24"/>
          <w:szCs w:val="24"/>
        </w:rPr>
        <w:t xml:space="preserve"> </w:t>
      </w:r>
      <w:r w:rsidR="003508FF" w:rsidRPr="00273FEE">
        <w:rPr>
          <w:rFonts w:ascii="Arial" w:hAnsi="Arial" w:cs="Arial"/>
          <w:sz w:val="24"/>
          <w:szCs w:val="24"/>
        </w:rPr>
        <w:t>prihodi</w:t>
      </w:r>
      <w:r w:rsidR="003508FF" w:rsidRPr="006A5EBF">
        <w:rPr>
          <w:rFonts w:ascii="Arial" w:hAnsi="Arial" w:cs="Arial"/>
          <w:sz w:val="24"/>
          <w:szCs w:val="24"/>
        </w:rPr>
        <w:t xml:space="preserve"> za cjelovitu obnovu iznose </w:t>
      </w:r>
      <w:r w:rsidR="0030526D" w:rsidRPr="006A5EBF">
        <w:rPr>
          <w:rFonts w:ascii="Arial" w:hAnsi="Arial" w:cs="Arial"/>
          <w:sz w:val="24"/>
          <w:szCs w:val="24"/>
        </w:rPr>
        <w:t xml:space="preserve">4.915.170,00 </w:t>
      </w:r>
      <w:r w:rsidR="003508FF" w:rsidRPr="006A5EBF">
        <w:rPr>
          <w:rFonts w:ascii="Arial" w:hAnsi="Arial" w:cs="Arial"/>
          <w:sz w:val="24"/>
          <w:szCs w:val="24"/>
        </w:rPr>
        <w:t>eura.</w:t>
      </w:r>
    </w:p>
    <w:p w:rsidR="002207F4" w:rsidRPr="006A5EBF" w:rsidRDefault="00401087" w:rsidP="00F3297B">
      <w:pPr>
        <w:jc w:val="both"/>
        <w:rPr>
          <w:rFonts w:ascii="Arial" w:hAnsi="Arial" w:cs="Arial"/>
          <w:sz w:val="24"/>
          <w:szCs w:val="24"/>
        </w:rPr>
      </w:pPr>
      <w:r w:rsidRPr="006A5EBF">
        <w:rPr>
          <w:rFonts w:ascii="Arial" w:hAnsi="Arial" w:cs="Arial"/>
          <w:sz w:val="24"/>
          <w:szCs w:val="24"/>
        </w:rPr>
        <w:t>Ukupno planirani rashodi za 202</w:t>
      </w:r>
      <w:r w:rsidR="00745B8F">
        <w:rPr>
          <w:rFonts w:ascii="Arial" w:hAnsi="Arial" w:cs="Arial"/>
          <w:sz w:val="24"/>
          <w:szCs w:val="24"/>
        </w:rPr>
        <w:t>6</w:t>
      </w:r>
      <w:r w:rsidRPr="006A5EBF">
        <w:rPr>
          <w:rFonts w:ascii="Arial" w:hAnsi="Arial" w:cs="Arial"/>
          <w:sz w:val="24"/>
          <w:szCs w:val="24"/>
        </w:rPr>
        <w:t xml:space="preserve">. godinu iznose </w:t>
      </w:r>
      <w:r w:rsidR="00143C04" w:rsidRPr="006A5EBF">
        <w:rPr>
          <w:rFonts w:ascii="Arial" w:hAnsi="Arial" w:cs="Arial"/>
          <w:sz w:val="24"/>
          <w:szCs w:val="24"/>
        </w:rPr>
        <w:t>6.797.258.,75</w:t>
      </w:r>
      <w:r w:rsidR="009760CA" w:rsidRPr="006A5EBF">
        <w:rPr>
          <w:rFonts w:ascii="Arial" w:hAnsi="Arial" w:cs="Arial"/>
          <w:sz w:val="24"/>
          <w:szCs w:val="24"/>
        </w:rPr>
        <w:t xml:space="preserve"> </w:t>
      </w:r>
      <w:r w:rsidRPr="006A5EBF">
        <w:rPr>
          <w:rFonts w:ascii="Arial" w:hAnsi="Arial" w:cs="Arial"/>
          <w:sz w:val="24"/>
          <w:szCs w:val="24"/>
        </w:rPr>
        <w:t xml:space="preserve">eura. Iz izvora 11 </w:t>
      </w:r>
      <w:r w:rsidR="00D72A81" w:rsidRPr="006A5EBF">
        <w:rPr>
          <w:rFonts w:ascii="Arial" w:hAnsi="Arial" w:cs="Arial"/>
          <w:sz w:val="24"/>
          <w:szCs w:val="24"/>
        </w:rPr>
        <w:t xml:space="preserve">ukupni planirani rashodi </w:t>
      </w:r>
      <w:r w:rsidRPr="006A5EBF">
        <w:rPr>
          <w:rFonts w:ascii="Arial" w:hAnsi="Arial" w:cs="Arial"/>
          <w:sz w:val="24"/>
          <w:szCs w:val="24"/>
        </w:rPr>
        <w:t xml:space="preserve">za redovnu djelatnost iznose </w:t>
      </w:r>
      <w:r w:rsidR="00143C04" w:rsidRPr="006A5EBF">
        <w:rPr>
          <w:rFonts w:ascii="Arial" w:hAnsi="Arial" w:cs="Arial"/>
          <w:sz w:val="24"/>
          <w:szCs w:val="24"/>
        </w:rPr>
        <w:t xml:space="preserve">1.552.526,00 </w:t>
      </w:r>
      <w:r w:rsidRPr="006A5EBF">
        <w:rPr>
          <w:rFonts w:ascii="Arial" w:hAnsi="Arial" w:cs="Arial"/>
          <w:sz w:val="24"/>
          <w:szCs w:val="24"/>
        </w:rPr>
        <w:t xml:space="preserve">eura, a za programsku djelatnost </w:t>
      </w:r>
      <w:r w:rsidR="00143C04" w:rsidRPr="006A5EBF">
        <w:rPr>
          <w:rFonts w:ascii="Arial" w:hAnsi="Arial" w:cs="Arial"/>
          <w:sz w:val="24"/>
          <w:szCs w:val="24"/>
        </w:rPr>
        <w:t>208.432,00</w:t>
      </w:r>
      <w:r w:rsidRPr="006A5EBF">
        <w:rPr>
          <w:rFonts w:ascii="Arial" w:hAnsi="Arial" w:cs="Arial"/>
          <w:sz w:val="24"/>
          <w:szCs w:val="24"/>
        </w:rPr>
        <w:t xml:space="preserve"> eura. Iz izvora 31 za redovnu djelatnost iznose</w:t>
      </w:r>
      <w:r w:rsidR="00275ACA">
        <w:rPr>
          <w:rFonts w:ascii="Arial" w:hAnsi="Arial" w:cs="Arial"/>
          <w:sz w:val="24"/>
          <w:szCs w:val="24"/>
        </w:rPr>
        <w:t xml:space="preserve"> </w:t>
      </w:r>
      <w:r w:rsidR="00D72A81" w:rsidRPr="006A5EBF">
        <w:rPr>
          <w:rFonts w:ascii="Arial" w:hAnsi="Arial" w:cs="Arial"/>
          <w:sz w:val="24"/>
          <w:szCs w:val="24"/>
        </w:rPr>
        <w:t xml:space="preserve">37.011,84 </w:t>
      </w:r>
      <w:r w:rsidRPr="006A5EBF">
        <w:rPr>
          <w:rFonts w:ascii="Arial" w:hAnsi="Arial" w:cs="Arial"/>
          <w:sz w:val="24"/>
          <w:szCs w:val="24"/>
        </w:rPr>
        <w:t>eura</w:t>
      </w:r>
      <w:r w:rsidR="00275ACA">
        <w:rPr>
          <w:rFonts w:ascii="Arial" w:hAnsi="Arial" w:cs="Arial"/>
          <w:sz w:val="24"/>
          <w:szCs w:val="24"/>
        </w:rPr>
        <w:t>,</w:t>
      </w:r>
      <w:r w:rsidR="00544A3B" w:rsidRPr="006A5EBF">
        <w:rPr>
          <w:rFonts w:ascii="Arial" w:hAnsi="Arial" w:cs="Arial"/>
          <w:sz w:val="24"/>
          <w:szCs w:val="24"/>
        </w:rPr>
        <w:t xml:space="preserve"> a</w:t>
      </w:r>
      <w:r w:rsidRPr="006A5EBF">
        <w:rPr>
          <w:rFonts w:ascii="Arial" w:hAnsi="Arial" w:cs="Arial"/>
          <w:sz w:val="24"/>
          <w:szCs w:val="24"/>
        </w:rPr>
        <w:t xml:space="preserve"> iz izvora 43 za redovnu djelatnost iznose 6.868,91 eur</w:t>
      </w:r>
      <w:r w:rsidR="00544A3B" w:rsidRPr="006A5EBF">
        <w:rPr>
          <w:rFonts w:ascii="Arial" w:hAnsi="Arial" w:cs="Arial"/>
          <w:sz w:val="24"/>
          <w:szCs w:val="24"/>
        </w:rPr>
        <w:t>o</w:t>
      </w:r>
      <w:r w:rsidRPr="006A5EBF">
        <w:rPr>
          <w:rFonts w:ascii="Arial" w:hAnsi="Arial" w:cs="Arial"/>
          <w:sz w:val="24"/>
          <w:szCs w:val="24"/>
        </w:rPr>
        <w:t xml:space="preserve">. Iz izvora 52 </w:t>
      </w:r>
      <w:r w:rsidR="00544A3B" w:rsidRPr="006A5EBF">
        <w:rPr>
          <w:rFonts w:ascii="Arial" w:hAnsi="Arial" w:cs="Arial"/>
          <w:sz w:val="24"/>
          <w:szCs w:val="24"/>
        </w:rPr>
        <w:t xml:space="preserve">za </w:t>
      </w:r>
      <w:r w:rsidRPr="006A5EBF">
        <w:rPr>
          <w:rFonts w:ascii="Arial" w:hAnsi="Arial" w:cs="Arial"/>
          <w:sz w:val="24"/>
          <w:szCs w:val="24"/>
        </w:rPr>
        <w:t xml:space="preserve">programsku djelatnost iznose </w:t>
      </w:r>
      <w:r w:rsidR="00D72A81" w:rsidRPr="006A5EBF">
        <w:rPr>
          <w:rFonts w:ascii="Arial" w:hAnsi="Arial" w:cs="Arial"/>
          <w:sz w:val="24"/>
          <w:szCs w:val="24"/>
        </w:rPr>
        <w:t>7</w:t>
      </w:r>
      <w:r w:rsidR="00C2130A" w:rsidRPr="006A5EBF">
        <w:rPr>
          <w:rFonts w:ascii="Arial" w:hAnsi="Arial" w:cs="Arial"/>
          <w:sz w:val="24"/>
          <w:szCs w:val="24"/>
        </w:rPr>
        <w:t>7</w:t>
      </w:r>
      <w:r w:rsidR="00D72A81" w:rsidRPr="006A5EBF">
        <w:rPr>
          <w:rFonts w:ascii="Arial" w:hAnsi="Arial" w:cs="Arial"/>
          <w:sz w:val="24"/>
          <w:szCs w:val="24"/>
        </w:rPr>
        <w:t>.250</w:t>
      </w:r>
      <w:r w:rsidRPr="006A5EBF">
        <w:rPr>
          <w:rFonts w:ascii="Arial" w:hAnsi="Arial" w:cs="Arial"/>
          <w:sz w:val="24"/>
          <w:szCs w:val="24"/>
        </w:rPr>
        <w:t>,00 eura</w:t>
      </w:r>
      <w:r w:rsidR="00D72A81" w:rsidRPr="006A5EBF">
        <w:rPr>
          <w:rFonts w:ascii="Arial" w:hAnsi="Arial" w:cs="Arial"/>
          <w:sz w:val="24"/>
          <w:szCs w:val="24"/>
        </w:rPr>
        <w:t xml:space="preserve">, dok </w:t>
      </w:r>
      <w:r w:rsidR="00143C04" w:rsidRPr="006A5EBF">
        <w:rPr>
          <w:rFonts w:ascii="Arial" w:hAnsi="Arial" w:cs="Arial"/>
          <w:sz w:val="24"/>
          <w:szCs w:val="24"/>
        </w:rPr>
        <w:t xml:space="preserve">iz izvora 50815 </w:t>
      </w:r>
      <w:r w:rsidR="00D72A81" w:rsidRPr="006A5EBF">
        <w:rPr>
          <w:rFonts w:ascii="Arial" w:hAnsi="Arial" w:cs="Arial"/>
          <w:sz w:val="24"/>
          <w:szCs w:val="24"/>
        </w:rPr>
        <w:t xml:space="preserve">ukupni planirani rashodi za cjelovitu obnovu </w:t>
      </w:r>
      <w:r w:rsidR="00C2130A" w:rsidRPr="006A5EBF">
        <w:rPr>
          <w:rFonts w:ascii="Arial" w:hAnsi="Arial" w:cs="Arial"/>
          <w:sz w:val="24"/>
          <w:szCs w:val="24"/>
        </w:rPr>
        <w:t xml:space="preserve">iznose </w:t>
      </w:r>
      <w:r w:rsidR="00143C04" w:rsidRPr="006A5EBF">
        <w:rPr>
          <w:rFonts w:ascii="Arial" w:hAnsi="Arial" w:cs="Arial"/>
          <w:sz w:val="24"/>
          <w:szCs w:val="24"/>
        </w:rPr>
        <w:t xml:space="preserve">4.915.170,00 </w:t>
      </w:r>
      <w:r w:rsidR="00D72A81" w:rsidRPr="006A5EBF">
        <w:rPr>
          <w:rFonts w:ascii="Arial" w:hAnsi="Arial" w:cs="Arial"/>
          <w:sz w:val="24"/>
          <w:szCs w:val="24"/>
        </w:rPr>
        <w:t>eura</w:t>
      </w:r>
      <w:r w:rsidRPr="006A5EBF">
        <w:rPr>
          <w:rFonts w:ascii="Arial" w:hAnsi="Arial" w:cs="Arial"/>
          <w:sz w:val="24"/>
          <w:szCs w:val="24"/>
        </w:rPr>
        <w:t>.</w:t>
      </w:r>
    </w:p>
    <w:p w:rsidR="00401087" w:rsidRPr="006A5EBF" w:rsidRDefault="00401087" w:rsidP="00F3297B">
      <w:pPr>
        <w:jc w:val="both"/>
        <w:rPr>
          <w:rFonts w:ascii="Arial" w:hAnsi="Arial" w:cs="Arial"/>
          <w:sz w:val="24"/>
          <w:szCs w:val="24"/>
        </w:rPr>
      </w:pPr>
      <w:r w:rsidRPr="006A5EBF">
        <w:rPr>
          <w:rFonts w:ascii="Arial" w:hAnsi="Arial" w:cs="Arial"/>
          <w:sz w:val="24"/>
          <w:szCs w:val="24"/>
        </w:rPr>
        <w:t xml:space="preserve">Osim rashoda za zaposlene koji čine </w:t>
      </w:r>
      <w:r w:rsidR="00D72A81" w:rsidRPr="006A5EBF">
        <w:rPr>
          <w:rFonts w:ascii="Arial" w:hAnsi="Arial" w:cs="Arial"/>
          <w:sz w:val="24"/>
          <w:szCs w:val="24"/>
        </w:rPr>
        <w:t>6</w:t>
      </w:r>
      <w:r w:rsidR="00A070C0" w:rsidRPr="006A5EBF">
        <w:rPr>
          <w:rFonts w:ascii="Arial" w:hAnsi="Arial" w:cs="Arial"/>
          <w:sz w:val="24"/>
          <w:szCs w:val="24"/>
        </w:rPr>
        <w:t>4</w:t>
      </w:r>
      <w:r w:rsidR="000108D5" w:rsidRPr="006A5EBF">
        <w:rPr>
          <w:rFonts w:ascii="Arial" w:hAnsi="Arial" w:cs="Arial"/>
          <w:sz w:val="24"/>
          <w:szCs w:val="24"/>
        </w:rPr>
        <w:t>,88</w:t>
      </w:r>
      <w:r w:rsidR="00A070C0" w:rsidRPr="006A5EBF">
        <w:rPr>
          <w:rFonts w:ascii="Arial" w:hAnsi="Arial" w:cs="Arial"/>
          <w:sz w:val="24"/>
          <w:szCs w:val="24"/>
        </w:rPr>
        <w:t xml:space="preserve"> </w:t>
      </w:r>
      <w:r w:rsidRPr="006A5EBF">
        <w:rPr>
          <w:rFonts w:ascii="Arial" w:hAnsi="Arial" w:cs="Arial"/>
          <w:sz w:val="24"/>
          <w:szCs w:val="24"/>
        </w:rPr>
        <w:t>% ukupnih rashoda</w:t>
      </w:r>
      <w:r w:rsidR="00275ACA">
        <w:rPr>
          <w:rFonts w:ascii="Arial" w:hAnsi="Arial" w:cs="Arial"/>
          <w:sz w:val="24"/>
          <w:szCs w:val="24"/>
        </w:rPr>
        <w:t>,</w:t>
      </w:r>
      <w:r w:rsidRPr="006A5EBF">
        <w:rPr>
          <w:rFonts w:ascii="Arial" w:hAnsi="Arial" w:cs="Arial"/>
          <w:sz w:val="24"/>
          <w:szCs w:val="24"/>
        </w:rPr>
        <w:t xml:space="preserve"> za redovnu djelatnost najznačajnija vrsta rashoda su rashodi za </w:t>
      </w:r>
      <w:r w:rsidR="007F58BA" w:rsidRPr="006A5EBF">
        <w:rPr>
          <w:rFonts w:ascii="Arial" w:hAnsi="Arial" w:cs="Arial"/>
          <w:sz w:val="24"/>
          <w:szCs w:val="24"/>
        </w:rPr>
        <w:t>zakupnine i najamnine, odnose se na zakup poslovnog prostora vanjskog skladišta (</w:t>
      </w:r>
      <w:proofErr w:type="spellStart"/>
      <w:r w:rsidR="007F58BA" w:rsidRPr="006A5EBF">
        <w:rPr>
          <w:rFonts w:ascii="Arial" w:hAnsi="Arial" w:cs="Arial"/>
          <w:sz w:val="24"/>
          <w:szCs w:val="24"/>
        </w:rPr>
        <w:t>čuvaonice</w:t>
      </w:r>
      <w:proofErr w:type="spellEnd"/>
      <w:r w:rsidR="007F58BA" w:rsidRPr="006A5EBF">
        <w:rPr>
          <w:rFonts w:ascii="Arial" w:hAnsi="Arial" w:cs="Arial"/>
          <w:sz w:val="24"/>
          <w:szCs w:val="24"/>
        </w:rPr>
        <w:t xml:space="preserve">), </w:t>
      </w:r>
      <w:r w:rsidR="00275ACA">
        <w:rPr>
          <w:rFonts w:ascii="Arial" w:hAnsi="Arial" w:cs="Arial"/>
          <w:sz w:val="24"/>
          <w:szCs w:val="24"/>
        </w:rPr>
        <w:t>te</w:t>
      </w:r>
      <w:r w:rsidR="007F58BA" w:rsidRPr="006A5EBF">
        <w:rPr>
          <w:rFonts w:ascii="Arial" w:hAnsi="Arial" w:cs="Arial"/>
          <w:sz w:val="24"/>
          <w:szCs w:val="24"/>
        </w:rPr>
        <w:t xml:space="preserve"> </w:t>
      </w:r>
      <w:r w:rsidR="00745B8F">
        <w:rPr>
          <w:rFonts w:ascii="Arial" w:hAnsi="Arial" w:cs="Arial"/>
          <w:sz w:val="24"/>
          <w:szCs w:val="24"/>
        </w:rPr>
        <w:t xml:space="preserve">ostali rashodi koje se odnose na </w:t>
      </w:r>
      <w:r w:rsidR="007F58BA" w:rsidRPr="006A5EBF">
        <w:rPr>
          <w:rFonts w:ascii="Arial" w:hAnsi="Arial" w:cs="Arial"/>
          <w:sz w:val="24"/>
          <w:szCs w:val="24"/>
        </w:rPr>
        <w:t>rashod</w:t>
      </w:r>
      <w:r w:rsidR="00745B8F">
        <w:rPr>
          <w:rFonts w:ascii="Arial" w:hAnsi="Arial" w:cs="Arial"/>
          <w:sz w:val="24"/>
          <w:szCs w:val="24"/>
        </w:rPr>
        <w:t>e</w:t>
      </w:r>
      <w:r w:rsidR="007F58BA" w:rsidRPr="006A5EBF">
        <w:rPr>
          <w:rFonts w:ascii="Arial" w:hAnsi="Arial" w:cs="Arial"/>
          <w:sz w:val="24"/>
          <w:szCs w:val="24"/>
        </w:rPr>
        <w:t xml:space="preserve"> za usluge</w:t>
      </w:r>
      <w:r w:rsidR="00745B8F">
        <w:rPr>
          <w:rFonts w:ascii="Arial" w:hAnsi="Arial" w:cs="Arial"/>
          <w:sz w:val="24"/>
          <w:szCs w:val="24"/>
        </w:rPr>
        <w:t xml:space="preserve"> osiguranja imovine i osoba</w:t>
      </w:r>
      <w:r w:rsidR="007F58BA" w:rsidRPr="006A5EBF">
        <w:rPr>
          <w:rFonts w:ascii="Arial" w:hAnsi="Arial" w:cs="Arial"/>
          <w:sz w:val="24"/>
          <w:szCs w:val="24"/>
        </w:rPr>
        <w:t xml:space="preserve">. </w:t>
      </w:r>
      <w:r w:rsidRPr="006A5EBF">
        <w:rPr>
          <w:rFonts w:ascii="Arial" w:hAnsi="Arial" w:cs="Arial"/>
          <w:sz w:val="24"/>
          <w:szCs w:val="24"/>
        </w:rPr>
        <w:t>Ukupni prijenos sredstava iz 202</w:t>
      </w:r>
      <w:r w:rsidR="000108D5" w:rsidRPr="006A5EBF">
        <w:rPr>
          <w:rFonts w:ascii="Arial" w:hAnsi="Arial" w:cs="Arial"/>
          <w:sz w:val="24"/>
          <w:szCs w:val="24"/>
        </w:rPr>
        <w:t>5</w:t>
      </w:r>
      <w:r w:rsidRPr="006A5EBF">
        <w:rPr>
          <w:rFonts w:ascii="Arial" w:hAnsi="Arial" w:cs="Arial"/>
          <w:sz w:val="24"/>
          <w:szCs w:val="24"/>
        </w:rPr>
        <w:t xml:space="preserve">. godine iznosi </w:t>
      </w:r>
      <w:r w:rsidR="000108D5" w:rsidRPr="006A5EBF">
        <w:rPr>
          <w:rFonts w:ascii="Arial" w:hAnsi="Arial" w:cs="Arial"/>
          <w:sz w:val="24"/>
          <w:szCs w:val="24"/>
        </w:rPr>
        <w:t xml:space="preserve">60.427,67 </w:t>
      </w:r>
      <w:r w:rsidRPr="006A5EBF">
        <w:rPr>
          <w:rFonts w:ascii="Arial" w:hAnsi="Arial" w:cs="Arial"/>
          <w:sz w:val="24"/>
          <w:szCs w:val="24"/>
        </w:rPr>
        <w:t>eura.</w:t>
      </w:r>
    </w:p>
    <w:p w:rsidR="00401087" w:rsidRPr="006A5EBF" w:rsidRDefault="00401087" w:rsidP="00F3297B">
      <w:pPr>
        <w:jc w:val="both"/>
        <w:rPr>
          <w:rFonts w:cstheme="minorHAnsi"/>
          <w:sz w:val="24"/>
          <w:szCs w:val="24"/>
        </w:rPr>
      </w:pPr>
      <w:r w:rsidRPr="006A5EBF">
        <w:rPr>
          <w:rFonts w:ascii="Arial" w:hAnsi="Arial" w:cs="Arial"/>
          <w:sz w:val="24"/>
          <w:szCs w:val="24"/>
        </w:rPr>
        <w:lastRenderedPageBreak/>
        <w:t xml:space="preserve">Hrvatski povijesni muzej nema izdatke za financijsku imovinu </w:t>
      </w:r>
      <w:r w:rsidR="000F4EAA" w:rsidRPr="006A5EBF">
        <w:rPr>
          <w:rFonts w:ascii="Arial" w:hAnsi="Arial" w:cs="Arial"/>
          <w:sz w:val="24"/>
          <w:szCs w:val="24"/>
        </w:rPr>
        <w:t>ni</w:t>
      </w:r>
      <w:r w:rsidRPr="006A5EBF">
        <w:rPr>
          <w:rFonts w:ascii="Arial" w:hAnsi="Arial" w:cs="Arial"/>
          <w:sz w:val="24"/>
          <w:szCs w:val="24"/>
        </w:rPr>
        <w:t xml:space="preserve"> otplatu zajmova, kao ni potraživanja iz kreditnih ili sličnih odnosa</w:t>
      </w:r>
      <w:r w:rsidRPr="006A5EBF">
        <w:rPr>
          <w:rFonts w:cstheme="minorHAnsi"/>
          <w:sz w:val="24"/>
          <w:szCs w:val="24"/>
        </w:rPr>
        <w:t xml:space="preserve">. </w:t>
      </w:r>
    </w:p>
    <w:p w:rsidR="00401087" w:rsidRDefault="006A5EBF" w:rsidP="00F3297B">
      <w:pPr>
        <w:jc w:val="both"/>
        <w:rPr>
          <w:rFonts w:ascii="Arial" w:hAnsi="Arial" w:cs="Arial"/>
          <w:sz w:val="24"/>
          <w:szCs w:val="24"/>
        </w:rPr>
      </w:pPr>
      <w:r w:rsidRPr="006A5EBF">
        <w:rPr>
          <w:rFonts w:ascii="Arial" w:hAnsi="Arial" w:cs="Arial"/>
          <w:noProof/>
        </w:rPr>
        <w:drawing>
          <wp:inline distT="0" distB="0" distL="0" distR="0">
            <wp:extent cx="6013939" cy="1174750"/>
            <wp:effectExtent l="0" t="0" r="635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333" cy="1175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EBF" w:rsidRDefault="006A5EBF" w:rsidP="00F3297B">
      <w:pPr>
        <w:jc w:val="both"/>
        <w:rPr>
          <w:rFonts w:ascii="Arial" w:hAnsi="Arial" w:cs="Arial"/>
          <w:sz w:val="24"/>
          <w:szCs w:val="24"/>
        </w:rPr>
      </w:pPr>
    </w:p>
    <w:p w:rsidR="006A5EBF" w:rsidRDefault="00C338CE" w:rsidP="00F3297B">
      <w:pPr>
        <w:jc w:val="both"/>
        <w:rPr>
          <w:rFonts w:ascii="Arial" w:hAnsi="Arial" w:cs="Arial"/>
          <w:sz w:val="24"/>
          <w:szCs w:val="24"/>
        </w:rPr>
      </w:pPr>
      <w:r w:rsidRPr="00C338CE">
        <w:rPr>
          <w:noProof/>
        </w:rPr>
        <w:drawing>
          <wp:inline distT="0" distB="0" distL="0" distR="0">
            <wp:extent cx="6242539" cy="5134503"/>
            <wp:effectExtent l="0" t="0" r="635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025" cy="5151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8CE" w:rsidRPr="00241BFD" w:rsidRDefault="00C338CE" w:rsidP="00F3297B">
      <w:pPr>
        <w:jc w:val="both"/>
        <w:rPr>
          <w:rFonts w:ascii="Arial" w:hAnsi="Arial" w:cs="Arial"/>
          <w:sz w:val="24"/>
          <w:szCs w:val="24"/>
        </w:rPr>
      </w:pPr>
    </w:p>
    <w:p w:rsidR="00401087" w:rsidRPr="00241BFD" w:rsidRDefault="00401087" w:rsidP="00F3297B">
      <w:pPr>
        <w:jc w:val="both"/>
        <w:rPr>
          <w:rFonts w:ascii="Arial" w:hAnsi="Arial" w:cs="Arial"/>
          <w:sz w:val="24"/>
          <w:szCs w:val="24"/>
        </w:rPr>
      </w:pPr>
    </w:p>
    <w:p w:rsidR="005B2C67" w:rsidRPr="00241BFD" w:rsidRDefault="000176F7" w:rsidP="00F3297B">
      <w:pPr>
        <w:jc w:val="both"/>
        <w:rPr>
          <w:rFonts w:ascii="Arial" w:hAnsi="Arial" w:cs="Arial"/>
          <w:sz w:val="24"/>
          <w:szCs w:val="24"/>
        </w:rPr>
      </w:pPr>
      <w:r w:rsidRPr="000176F7">
        <w:rPr>
          <w:noProof/>
        </w:rPr>
        <w:lastRenderedPageBreak/>
        <w:drawing>
          <wp:inline distT="0" distB="0" distL="0" distR="0">
            <wp:extent cx="6189785" cy="7813040"/>
            <wp:effectExtent l="0" t="0" r="190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692" cy="7815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C67" w:rsidRPr="00241BFD" w:rsidRDefault="005B2C67" w:rsidP="00F3297B">
      <w:pPr>
        <w:jc w:val="both"/>
        <w:rPr>
          <w:rFonts w:ascii="Arial" w:hAnsi="Arial" w:cs="Arial"/>
          <w:sz w:val="24"/>
          <w:szCs w:val="24"/>
        </w:rPr>
      </w:pPr>
    </w:p>
    <w:p w:rsidR="005B2C67" w:rsidRPr="00241BFD" w:rsidRDefault="005B2C67" w:rsidP="00F3297B">
      <w:pPr>
        <w:jc w:val="both"/>
        <w:rPr>
          <w:rFonts w:ascii="Arial" w:hAnsi="Arial" w:cs="Arial"/>
          <w:sz w:val="24"/>
          <w:szCs w:val="24"/>
        </w:rPr>
      </w:pPr>
    </w:p>
    <w:p w:rsidR="005B2C67" w:rsidRPr="00241BFD" w:rsidRDefault="003076CB" w:rsidP="00F3297B">
      <w:pPr>
        <w:jc w:val="both"/>
        <w:rPr>
          <w:rFonts w:ascii="Arial" w:hAnsi="Arial" w:cs="Arial"/>
          <w:sz w:val="24"/>
          <w:szCs w:val="24"/>
        </w:rPr>
      </w:pPr>
      <w:r w:rsidRPr="003076CB">
        <w:rPr>
          <w:noProof/>
        </w:rPr>
        <w:drawing>
          <wp:inline distT="0" distB="0" distL="0" distR="0">
            <wp:extent cx="6180455" cy="5741376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143" cy="5748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C67" w:rsidRDefault="005B2C67" w:rsidP="00F3297B">
      <w:pPr>
        <w:jc w:val="both"/>
        <w:rPr>
          <w:rFonts w:ascii="Arial" w:hAnsi="Arial" w:cs="Arial"/>
          <w:sz w:val="24"/>
          <w:szCs w:val="24"/>
        </w:rPr>
      </w:pPr>
    </w:p>
    <w:p w:rsidR="003076CB" w:rsidRDefault="003076CB" w:rsidP="00F3297B">
      <w:pPr>
        <w:jc w:val="both"/>
        <w:rPr>
          <w:rFonts w:ascii="Arial" w:hAnsi="Arial" w:cs="Arial"/>
          <w:sz w:val="24"/>
          <w:szCs w:val="24"/>
        </w:rPr>
      </w:pPr>
      <w:r w:rsidRPr="003076CB">
        <w:rPr>
          <w:noProof/>
        </w:rPr>
        <w:lastRenderedPageBreak/>
        <w:drawing>
          <wp:inline distT="0" distB="0" distL="0" distR="0">
            <wp:extent cx="6207125" cy="1890346"/>
            <wp:effectExtent l="0" t="0" r="3175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514" cy="189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70D" w:rsidRDefault="00D1370D" w:rsidP="00F3297B">
      <w:pPr>
        <w:jc w:val="both"/>
        <w:rPr>
          <w:rFonts w:ascii="Arial" w:hAnsi="Arial" w:cs="Arial"/>
          <w:sz w:val="24"/>
          <w:szCs w:val="24"/>
        </w:rPr>
      </w:pPr>
    </w:p>
    <w:p w:rsidR="00D1370D" w:rsidRDefault="00D1370D" w:rsidP="00F3297B">
      <w:pPr>
        <w:jc w:val="both"/>
        <w:rPr>
          <w:rFonts w:ascii="Arial" w:hAnsi="Arial" w:cs="Arial"/>
          <w:sz w:val="24"/>
          <w:szCs w:val="24"/>
        </w:rPr>
      </w:pPr>
    </w:p>
    <w:p w:rsidR="00D1370D" w:rsidRDefault="00D1370D" w:rsidP="00F3297B">
      <w:pPr>
        <w:jc w:val="both"/>
        <w:rPr>
          <w:rFonts w:ascii="Arial" w:hAnsi="Arial" w:cs="Arial"/>
          <w:sz w:val="24"/>
          <w:szCs w:val="24"/>
        </w:rPr>
      </w:pPr>
      <w:r w:rsidRPr="00D1370D">
        <w:rPr>
          <w:noProof/>
        </w:rPr>
        <w:lastRenderedPageBreak/>
        <w:drawing>
          <wp:inline distT="0" distB="0" distL="0" distR="0">
            <wp:extent cx="6198235" cy="8815050"/>
            <wp:effectExtent l="0" t="0" r="0" b="571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943" cy="8840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70D" w:rsidRPr="00241BFD" w:rsidRDefault="00D1370D" w:rsidP="00F3297B">
      <w:pPr>
        <w:jc w:val="both"/>
        <w:rPr>
          <w:rFonts w:ascii="Arial" w:hAnsi="Arial" w:cs="Arial"/>
          <w:sz w:val="24"/>
          <w:szCs w:val="24"/>
        </w:rPr>
      </w:pPr>
      <w:r w:rsidRPr="00D1370D">
        <w:rPr>
          <w:noProof/>
        </w:rPr>
        <w:lastRenderedPageBreak/>
        <w:drawing>
          <wp:inline distT="0" distB="0" distL="0" distR="0">
            <wp:extent cx="6207125" cy="8343900"/>
            <wp:effectExtent l="0" t="0" r="3175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647" cy="835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C67" w:rsidRPr="00241BFD" w:rsidRDefault="005B2C67" w:rsidP="00F3297B">
      <w:pPr>
        <w:jc w:val="both"/>
        <w:rPr>
          <w:rFonts w:ascii="Arial" w:hAnsi="Arial" w:cs="Arial"/>
          <w:b/>
          <w:i/>
          <w:sz w:val="24"/>
          <w:szCs w:val="24"/>
        </w:rPr>
      </w:pPr>
      <w:r w:rsidRPr="00241BFD">
        <w:rPr>
          <w:rFonts w:ascii="Arial" w:hAnsi="Arial" w:cs="Arial"/>
          <w:b/>
          <w:i/>
          <w:sz w:val="24"/>
          <w:szCs w:val="24"/>
        </w:rPr>
        <w:lastRenderedPageBreak/>
        <w:t>Plan rashoda za redovnu djelatnost</w:t>
      </w:r>
      <w:r w:rsidR="00C664F0">
        <w:rPr>
          <w:rFonts w:ascii="Arial" w:hAnsi="Arial" w:cs="Arial"/>
          <w:b/>
          <w:i/>
          <w:sz w:val="24"/>
          <w:szCs w:val="24"/>
        </w:rPr>
        <w:t xml:space="preserve"> (izvor 11)</w:t>
      </w:r>
      <w:r w:rsidRPr="00241BFD">
        <w:rPr>
          <w:rFonts w:ascii="Arial" w:hAnsi="Arial" w:cs="Arial"/>
          <w:b/>
          <w:i/>
          <w:sz w:val="24"/>
          <w:szCs w:val="24"/>
        </w:rPr>
        <w:t>:</w:t>
      </w:r>
    </w:p>
    <w:p w:rsidR="005B2C67" w:rsidRPr="00241BFD" w:rsidRDefault="005B2C67" w:rsidP="00F3297B">
      <w:pPr>
        <w:jc w:val="both"/>
        <w:rPr>
          <w:rFonts w:ascii="Arial" w:hAnsi="Arial" w:cs="Arial"/>
          <w:sz w:val="24"/>
          <w:szCs w:val="24"/>
        </w:rPr>
      </w:pPr>
      <w:r w:rsidRPr="00241BFD">
        <w:rPr>
          <w:rFonts w:ascii="Arial" w:hAnsi="Arial" w:cs="Arial"/>
          <w:sz w:val="24"/>
          <w:szCs w:val="24"/>
        </w:rPr>
        <w:t xml:space="preserve">U rashodima za redovnu djelatnost obuhvaćeni su rashodi za zaposlene, materijalna prava radnika, materijalni i financijski rashodi. </w:t>
      </w:r>
    </w:p>
    <w:p w:rsidR="00824D6D" w:rsidRPr="00241BFD" w:rsidRDefault="005B2C67" w:rsidP="00F3297B">
      <w:pPr>
        <w:jc w:val="both"/>
        <w:rPr>
          <w:rFonts w:ascii="Arial" w:hAnsi="Arial" w:cs="Arial"/>
          <w:sz w:val="24"/>
          <w:szCs w:val="24"/>
        </w:rPr>
      </w:pPr>
      <w:r w:rsidRPr="00241BFD">
        <w:rPr>
          <w:rFonts w:ascii="Arial" w:hAnsi="Arial" w:cs="Arial"/>
          <w:sz w:val="24"/>
          <w:szCs w:val="24"/>
        </w:rPr>
        <w:t>Rashodi za zaposlene su planirani na osnovi 3</w:t>
      </w:r>
      <w:r w:rsidR="00C664F0">
        <w:rPr>
          <w:rFonts w:ascii="Arial" w:hAnsi="Arial" w:cs="Arial"/>
          <w:sz w:val="24"/>
          <w:szCs w:val="24"/>
        </w:rPr>
        <w:t>4</w:t>
      </w:r>
      <w:r w:rsidRPr="00241BFD">
        <w:rPr>
          <w:rFonts w:ascii="Arial" w:hAnsi="Arial" w:cs="Arial"/>
          <w:sz w:val="24"/>
          <w:szCs w:val="24"/>
        </w:rPr>
        <w:t xml:space="preserve"> radn</w:t>
      </w:r>
      <w:r w:rsidR="00275ACA">
        <w:rPr>
          <w:rFonts w:ascii="Arial" w:hAnsi="Arial" w:cs="Arial"/>
          <w:sz w:val="24"/>
          <w:szCs w:val="24"/>
        </w:rPr>
        <w:t>ih</w:t>
      </w:r>
      <w:r w:rsidRPr="00241BFD">
        <w:rPr>
          <w:rFonts w:ascii="Arial" w:hAnsi="Arial" w:cs="Arial"/>
          <w:sz w:val="24"/>
          <w:szCs w:val="24"/>
        </w:rPr>
        <w:t xml:space="preserve"> mjest</w:t>
      </w:r>
      <w:r w:rsidR="00852BF2" w:rsidRPr="00241BFD">
        <w:rPr>
          <w:rFonts w:ascii="Arial" w:hAnsi="Arial" w:cs="Arial"/>
          <w:sz w:val="24"/>
          <w:szCs w:val="24"/>
        </w:rPr>
        <w:t>a</w:t>
      </w:r>
      <w:r w:rsidRPr="00241BFD">
        <w:rPr>
          <w:rFonts w:ascii="Arial" w:hAnsi="Arial" w:cs="Arial"/>
          <w:sz w:val="24"/>
          <w:szCs w:val="24"/>
        </w:rPr>
        <w:t xml:space="preserve"> s punim radnim vremenom, iznose </w:t>
      </w:r>
      <w:r w:rsidR="00BA2287">
        <w:rPr>
          <w:rFonts w:ascii="Arial" w:hAnsi="Arial" w:cs="Arial"/>
          <w:sz w:val="24"/>
          <w:szCs w:val="24"/>
        </w:rPr>
        <w:t xml:space="preserve">1.007.249,00 </w:t>
      </w:r>
      <w:r w:rsidRPr="00241BFD">
        <w:rPr>
          <w:rFonts w:ascii="Arial" w:hAnsi="Arial" w:cs="Arial"/>
          <w:sz w:val="24"/>
          <w:szCs w:val="24"/>
        </w:rPr>
        <w:t>eura u 202</w:t>
      </w:r>
      <w:r w:rsidR="00C664F0">
        <w:rPr>
          <w:rFonts w:ascii="Arial" w:hAnsi="Arial" w:cs="Arial"/>
          <w:sz w:val="24"/>
          <w:szCs w:val="24"/>
        </w:rPr>
        <w:t>6</w:t>
      </w:r>
      <w:r w:rsidRPr="00241BFD">
        <w:rPr>
          <w:rFonts w:ascii="Arial" w:hAnsi="Arial" w:cs="Arial"/>
          <w:sz w:val="24"/>
          <w:szCs w:val="24"/>
        </w:rPr>
        <w:t xml:space="preserve">. godini. Materijalni rashodi </w:t>
      </w:r>
      <w:r w:rsidR="00824D6D" w:rsidRPr="00241BFD">
        <w:rPr>
          <w:rFonts w:ascii="Arial" w:hAnsi="Arial" w:cs="Arial"/>
          <w:sz w:val="24"/>
          <w:szCs w:val="24"/>
        </w:rPr>
        <w:t>zajedno s naknadom za prijevoz na posao i s posla planirani</w:t>
      </w:r>
      <w:r w:rsidR="00275ACA">
        <w:rPr>
          <w:rFonts w:ascii="Arial" w:hAnsi="Arial" w:cs="Arial"/>
          <w:sz w:val="24"/>
          <w:szCs w:val="24"/>
        </w:rPr>
        <w:t xml:space="preserve"> su</w:t>
      </w:r>
      <w:r w:rsidR="00824D6D" w:rsidRPr="00241BFD">
        <w:rPr>
          <w:rFonts w:ascii="Arial" w:hAnsi="Arial" w:cs="Arial"/>
          <w:sz w:val="24"/>
          <w:szCs w:val="24"/>
        </w:rPr>
        <w:t xml:space="preserve"> u iznosu od </w:t>
      </w:r>
      <w:r w:rsidR="00BA2287">
        <w:rPr>
          <w:rFonts w:ascii="Arial" w:hAnsi="Arial" w:cs="Arial"/>
          <w:sz w:val="24"/>
          <w:szCs w:val="24"/>
        </w:rPr>
        <w:t>544.328,00</w:t>
      </w:r>
      <w:r w:rsidR="00824D6D" w:rsidRPr="00241BFD">
        <w:rPr>
          <w:rFonts w:ascii="Arial" w:hAnsi="Arial" w:cs="Arial"/>
          <w:sz w:val="24"/>
          <w:szCs w:val="24"/>
        </w:rPr>
        <w:t xml:space="preserve"> eura. Najznač</w:t>
      </w:r>
      <w:r w:rsidR="005D4A71" w:rsidRPr="00241BFD">
        <w:rPr>
          <w:rFonts w:ascii="Arial" w:hAnsi="Arial" w:cs="Arial"/>
          <w:sz w:val="24"/>
          <w:szCs w:val="24"/>
        </w:rPr>
        <w:t>aj</w:t>
      </w:r>
      <w:r w:rsidR="00824D6D" w:rsidRPr="00241BFD">
        <w:rPr>
          <w:rFonts w:ascii="Arial" w:hAnsi="Arial" w:cs="Arial"/>
          <w:sz w:val="24"/>
          <w:szCs w:val="24"/>
        </w:rPr>
        <w:t xml:space="preserve">niji udio u materijalnim rashodima imaju ostale usluge koje se odnose na trošak </w:t>
      </w:r>
      <w:r w:rsidR="00BA2287">
        <w:rPr>
          <w:rFonts w:ascii="Arial" w:hAnsi="Arial" w:cs="Arial"/>
          <w:sz w:val="24"/>
          <w:szCs w:val="24"/>
        </w:rPr>
        <w:t>osiguranja imovine i osoba jer se osiguravaju dvije lokacije i jedno vanjsko skladište</w:t>
      </w:r>
      <w:r w:rsidR="00824D6D" w:rsidRPr="00241BFD">
        <w:rPr>
          <w:rFonts w:ascii="Arial" w:hAnsi="Arial" w:cs="Arial"/>
          <w:sz w:val="24"/>
          <w:szCs w:val="24"/>
        </w:rPr>
        <w:t xml:space="preserve">. Financijski rashodi iznose </w:t>
      </w:r>
      <w:r w:rsidR="00BA2287">
        <w:rPr>
          <w:rFonts w:ascii="Arial" w:hAnsi="Arial" w:cs="Arial"/>
          <w:sz w:val="24"/>
          <w:szCs w:val="24"/>
        </w:rPr>
        <w:t xml:space="preserve">949,00 </w:t>
      </w:r>
      <w:r w:rsidR="002D2F5B" w:rsidRPr="00241BFD">
        <w:rPr>
          <w:rFonts w:ascii="Arial" w:hAnsi="Arial" w:cs="Arial"/>
          <w:sz w:val="24"/>
          <w:szCs w:val="24"/>
        </w:rPr>
        <w:t>eura.</w:t>
      </w:r>
    </w:p>
    <w:p w:rsidR="002D2F5B" w:rsidRPr="00241BFD" w:rsidRDefault="002D2F5B" w:rsidP="00F3297B">
      <w:pPr>
        <w:jc w:val="both"/>
        <w:rPr>
          <w:rFonts w:ascii="Arial" w:hAnsi="Arial" w:cs="Arial"/>
          <w:b/>
          <w:i/>
          <w:sz w:val="24"/>
          <w:szCs w:val="24"/>
        </w:rPr>
      </w:pPr>
      <w:r w:rsidRPr="00241BFD">
        <w:rPr>
          <w:rFonts w:ascii="Arial" w:hAnsi="Arial" w:cs="Arial"/>
          <w:b/>
          <w:i/>
          <w:sz w:val="24"/>
          <w:szCs w:val="24"/>
        </w:rPr>
        <w:t xml:space="preserve">Plan </w:t>
      </w:r>
      <w:r w:rsidR="00430655" w:rsidRPr="00241BFD">
        <w:rPr>
          <w:rFonts w:ascii="Arial" w:hAnsi="Arial" w:cs="Arial"/>
          <w:b/>
          <w:i/>
          <w:sz w:val="24"/>
          <w:szCs w:val="24"/>
        </w:rPr>
        <w:t>rashoda</w:t>
      </w:r>
      <w:r w:rsidRPr="00241BFD">
        <w:rPr>
          <w:rFonts w:ascii="Arial" w:hAnsi="Arial" w:cs="Arial"/>
          <w:b/>
          <w:i/>
          <w:sz w:val="24"/>
          <w:szCs w:val="24"/>
        </w:rPr>
        <w:t xml:space="preserve"> za programsku djelatnost:</w:t>
      </w:r>
    </w:p>
    <w:p w:rsidR="002D2F5B" w:rsidRPr="00241BFD" w:rsidRDefault="002D2F5B" w:rsidP="00F3297B">
      <w:pPr>
        <w:jc w:val="both"/>
        <w:rPr>
          <w:rFonts w:ascii="Arial" w:hAnsi="Arial" w:cs="Arial"/>
          <w:sz w:val="24"/>
          <w:szCs w:val="24"/>
        </w:rPr>
      </w:pPr>
      <w:r w:rsidRPr="00241BFD">
        <w:rPr>
          <w:rFonts w:ascii="Arial" w:hAnsi="Arial" w:cs="Arial"/>
          <w:sz w:val="24"/>
          <w:szCs w:val="24"/>
        </w:rPr>
        <w:t>U ovom dijelu financijskog plana obuhvaćeni su rashodi na osnovi ponuda koje su povezane za svaki pojedinačni program</w:t>
      </w:r>
      <w:r w:rsidR="00BA2287">
        <w:rPr>
          <w:rFonts w:ascii="Arial" w:hAnsi="Arial" w:cs="Arial"/>
          <w:sz w:val="24"/>
          <w:szCs w:val="24"/>
        </w:rPr>
        <w:t xml:space="preserve">. </w:t>
      </w:r>
      <w:r w:rsidRPr="00241BFD">
        <w:rPr>
          <w:rFonts w:ascii="Arial" w:hAnsi="Arial" w:cs="Arial"/>
          <w:sz w:val="24"/>
          <w:szCs w:val="24"/>
        </w:rPr>
        <w:t xml:space="preserve">Ukupni plan programske aktivnosti iznosi </w:t>
      </w:r>
      <w:r w:rsidR="00BA2287">
        <w:rPr>
          <w:rFonts w:ascii="Arial" w:hAnsi="Arial" w:cs="Arial"/>
          <w:sz w:val="24"/>
          <w:szCs w:val="24"/>
        </w:rPr>
        <w:t xml:space="preserve">208.432,00 </w:t>
      </w:r>
      <w:r w:rsidRPr="00241BFD">
        <w:rPr>
          <w:rFonts w:ascii="Arial" w:hAnsi="Arial" w:cs="Arial"/>
          <w:sz w:val="24"/>
          <w:szCs w:val="24"/>
        </w:rPr>
        <w:t>eur</w:t>
      </w:r>
      <w:r w:rsidR="00DE164C" w:rsidRPr="00241BFD">
        <w:rPr>
          <w:rFonts w:ascii="Arial" w:hAnsi="Arial" w:cs="Arial"/>
          <w:sz w:val="24"/>
          <w:szCs w:val="24"/>
        </w:rPr>
        <w:t>a.</w:t>
      </w:r>
      <w:r w:rsidRPr="00241BFD">
        <w:rPr>
          <w:rFonts w:ascii="Arial" w:hAnsi="Arial" w:cs="Arial"/>
          <w:sz w:val="24"/>
          <w:szCs w:val="24"/>
        </w:rPr>
        <w:t xml:space="preserve"> </w:t>
      </w:r>
    </w:p>
    <w:p w:rsidR="002D2F5B" w:rsidRPr="00241BFD" w:rsidRDefault="002D2F5B" w:rsidP="00F3297B">
      <w:pPr>
        <w:jc w:val="both"/>
        <w:rPr>
          <w:rFonts w:ascii="Arial" w:hAnsi="Arial" w:cs="Arial"/>
          <w:b/>
          <w:i/>
          <w:sz w:val="24"/>
          <w:szCs w:val="24"/>
        </w:rPr>
      </w:pPr>
      <w:r w:rsidRPr="00241BFD">
        <w:rPr>
          <w:rFonts w:ascii="Arial" w:hAnsi="Arial" w:cs="Arial"/>
          <w:b/>
          <w:i/>
          <w:sz w:val="24"/>
          <w:szCs w:val="24"/>
        </w:rPr>
        <w:t>Plan rashoda iz vlastitih sredstava – ostali izvori:</w:t>
      </w:r>
    </w:p>
    <w:p w:rsidR="002D2F5B" w:rsidRPr="00241BFD" w:rsidRDefault="002D2F5B" w:rsidP="00F3297B">
      <w:pPr>
        <w:jc w:val="both"/>
        <w:rPr>
          <w:rFonts w:ascii="Arial" w:hAnsi="Arial" w:cs="Arial"/>
          <w:sz w:val="24"/>
          <w:szCs w:val="24"/>
        </w:rPr>
      </w:pPr>
      <w:r w:rsidRPr="00241BFD">
        <w:rPr>
          <w:rFonts w:ascii="Arial" w:hAnsi="Arial" w:cs="Arial"/>
          <w:sz w:val="24"/>
          <w:szCs w:val="24"/>
        </w:rPr>
        <w:t>U ovom dijelu financijskog plana obuhvaćeni su rashodi za koje nemamo dovoljno sredstava iz redovne djelatnosti</w:t>
      </w:r>
      <w:r w:rsidR="00DE164C" w:rsidRPr="00241BFD">
        <w:rPr>
          <w:rFonts w:ascii="Arial" w:hAnsi="Arial" w:cs="Arial"/>
          <w:sz w:val="24"/>
          <w:szCs w:val="24"/>
        </w:rPr>
        <w:t xml:space="preserve">, a planirani su na osnovi </w:t>
      </w:r>
      <w:r w:rsidR="00430655" w:rsidRPr="00241BFD">
        <w:rPr>
          <w:rFonts w:ascii="Arial" w:hAnsi="Arial" w:cs="Arial"/>
          <w:sz w:val="24"/>
          <w:szCs w:val="24"/>
        </w:rPr>
        <w:t>rashoda</w:t>
      </w:r>
      <w:r w:rsidR="00DE164C" w:rsidRPr="00241BFD">
        <w:rPr>
          <w:rFonts w:ascii="Arial" w:hAnsi="Arial" w:cs="Arial"/>
          <w:sz w:val="24"/>
          <w:szCs w:val="24"/>
        </w:rPr>
        <w:t xml:space="preserve"> prethodnih godina. Ukupan iznos planiranih rashoda iz </w:t>
      </w:r>
      <w:r w:rsidR="00E61656" w:rsidRPr="00241BFD">
        <w:rPr>
          <w:rFonts w:ascii="Arial" w:hAnsi="Arial" w:cs="Arial"/>
          <w:sz w:val="24"/>
          <w:szCs w:val="24"/>
        </w:rPr>
        <w:t xml:space="preserve">ostalih izvora </w:t>
      </w:r>
      <w:r w:rsidR="00DE164C" w:rsidRPr="00241BFD">
        <w:rPr>
          <w:rFonts w:ascii="Arial" w:hAnsi="Arial" w:cs="Arial"/>
          <w:sz w:val="24"/>
          <w:szCs w:val="24"/>
        </w:rPr>
        <w:t xml:space="preserve">iznosi </w:t>
      </w:r>
      <w:r w:rsidR="00430655" w:rsidRPr="00241BFD">
        <w:rPr>
          <w:rFonts w:ascii="Arial" w:hAnsi="Arial" w:cs="Arial"/>
          <w:sz w:val="24"/>
          <w:szCs w:val="24"/>
        </w:rPr>
        <w:t>43.880,75</w:t>
      </w:r>
      <w:r w:rsidR="00DE164C" w:rsidRPr="00241BFD">
        <w:rPr>
          <w:rFonts w:ascii="Arial" w:hAnsi="Arial" w:cs="Arial"/>
          <w:sz w:val="24"/>
          <w:szCs w:val="24"/>
        </w:rPr>
        <w:t xml:space="preserve"> eura. </w:t>
      </w:r>
    </w:p>
    <w:p w:rsidR="00507806" w:rsidRPr="00241BFD" w:rsidRDefault="00430655" w:rsidP="00F3297B">
      <w:pPr>
        <w:jc w:val="both"/>
        <w:rPr>
          <w:rFonts w:ascii="Arial" w:hAnsi="Arial" w:cs="Arial"/>
          <w:b/>
          <w:i/>
          <w:sz w:val="24"/>
          <w:szCs w:val="24"/>
        </w:rPr>
      </w:pPr>
      <w:r w:rsidRPr="00241BFD">
        <w:rPr>
          <w:rFonts w:ascii="Arial" w:hAnsi="Arial" w:cs="Arial"/>
          <w:b/>
          <w:i/>
          <w:sz w:val="24"/>
          <w:szCs w:val="24"/>
        </w:rPr>
        <w:t>Plan rashoda iz ostalih pomoći i darovnica:</w:t>
      </w:r>
    </w:p>
    <w:p w:rsidR="00430655" w:rsidRPr="00241BFD" w:rsidRDefault="00430655" w:rsidP="00F3297B">
      <w:pPr>
        <w:jc w:val="both"/>
        <w:rPr>
          <w:rFonts w:ascii="Arial" w:hAnsi="Arial" w:cs="Arial"/>
          <w:sz w:val="24"/>
          <w:szCs w:val="24"/>
        </w:rPr>
      </w:pPr>
      <w:r w:rsidRPr="00241BFD">
        <w:rPr>
          <w:rFonts w:ascii="Arial" w:hAnsi="Arial" w:cs="Arial"/>
          <w:sz w:val="24"/>
          <w:szCs w:val="24"/>
        </w:rPr>
        <w:t>U ovom dijelu financijsko</w:t>
      </w:r>
      <w:r w:rsidR="00275ACA">
        <w:rPr>
          <w:rFonts w:ascii="Arial" w:hAnsi="Arial" w:cs="Arial"/>
          <w:sz w:val="24"/>
          <w:szCs w:val="24"/>
        </w:rPr>
        <w:t>g</w:t>
      </w:r>
      <w:r w:rsidRPr="00241BFD">
        <w:rPr>
          <w:rFonts w:ascii="Arial" w:hAnsi="Arial" w:cs="Arial"/>
          <w:sz w:val="24"/>
          <w:szCs w:val="24"/>
        </w:rPr>
        <w:t xml:space="preserve"> plana obuhvaćeni su rashodi za programsku djelatnost koju financiramo </w:t>
      </w:r>
      <w:r w:rsidR="004851D6">
        <w:rPr>
          <w:rFonts w:ascii="Arial" w:hAnsi="Arial" w:cs="Arial"/>
          <w:sz w:val="24"/>
          <w:szCs w:val="24"/>
        </w:rPr>
        <w:t>iz</w:t>
      </w:r>
      <w:r w:rsidRPr="00241BFD">
        <w:rPr>
          <w:rFonts w:ascii="Arial" w:hAnsi="Arial" w:cs="Arial"/>
          <w:sz w:val="24"/>
          <w:szCs w:val="24"/>
        </w:rPr>
        <w:t xml:space="preserve"> sredstava Grada Zagreba</w:t>
      </w:r>
      <w:r w:rsidR="003E3842" w:rsidRPr="00241BFD">
        <w:rPr>
          <w:rFonts w:ascii="Arial" w:hAnsi="Arial" w:cs="Arial"/>
          <w:sz w:val="24"/>
          <w:szCs w:val="24"/>
        </w:rPr>
        <w:t>. Ukupni iznos planiranih rashoda od Grada Zagreba iznose 77.250,00 eura.</w:t>
      </w:r>
    </w:p>
    <w:p w:rsidR="003E3842" w:rsidRPr="00241BFD" w:rsidRDefault="003E3842" w:rsidP="00F3297B">
      <w:pPr>
        <w:jc w:val="both"/>
        <w:rPr>
          <w:rFonts w:ascii="Arial" w:hAnsi="Arial" w:cs="Arial"/>
          <w:sz w:val="24"/>
          <w:szCs w:val="24"/>
        </w:rPr>
      </w:pPr>
      <w:r w:rsidRPr="00241BFD">
        <w:rPr>
          <w:rFonts w:ascii="Arial" w:hAnsi="Arial" w:cs="Arial"/>
          <w:sz w:val="24"/>
          <w:szCs w:val="24"/>
        </w:rPr>
        <w:t>U ovom dijelu financijskog plana obuhvaćeni su rashodi za cjelovitu obnovu dvij</w:t>
      </w:r>
      <w:r w:rsidR="00275ACA">
        <w:rPr>
          <w:rFonts w:ascii="Arial" w:hAnsi="Arial" w:cs="Arial"/>
          <w:sz w:val="24"/>
          <w:szCs w:val="24"/>
        </w:rPr>
        <w:t>u</w:t>
      </w:r>
      <w:r w:rsidRPr="00241BFD">
        <w:rPr>
          <w:rFonts w:ascii="Arial" w:hAnsi="Arial" w:cs="Arial"/>
          <w:sz w:val="24"/>
          <w:szCs w:val="24"/>
        </w:rPr>
        <w:t xml:space="preserve"> zgrad</w:t>
      </w:r>
      <w:r w:rsidR="00275ACA">
        <w:rPr>
          <w:rFonts w:ascii="Arial" w:hAnsi="Arial" w:cs="Arial"/>
          <w:sz w:val="24"/>
          <w:szCs w:val="24"/>
        </w:rPr>
        <w:t>a</w:t>
      </w:r>
      <w:r w:rsidRPr="00241BFD">
        <w:rPr>
          <w:rFonts w:ascii="Arial" w:hAnsi="Arial" w:cs="Arial"/>
          <w:sz w:val="24"/>
          <w:szCs w:val="24"/>
        </w:rPr>
        <w:t xml:space="preserve"> stradal</w:t>
      </w:r>
      <w:r w:rsidR="00275ACA">
        <w:rPr>
          <w:rFonts w:ascii="Arial" w:hAnsi="Arial" w:cs="Arial"/>
          <w:sz w:val="24"/>
          <w:szCs w:val="24"/>
        </w:rPr>
        <w:t>ih</w:t>
      </w:r>
      <w:r w:rsidRPr="00241BFD">
        <w:rPr>
          <w:rFonts w:ascii="Arial" w:hAnsi="Arial" w:cs="Arial"/>
          <w:sz w:val="24"/>
          <w:szCs w:val="24"/>
        </w:rPr>
        <w:t xml:space="preserve"> u potresu. Budući da je u 2024. godini zaprimljen predujam za nastavak radova</w:t>
      </w:r>
      <w:r w:rsidR="003D7F50">
        <w:rPr>
          <w:rFonts w:ascii="Arial" w:hAnsi="Arial" w:cs="Arial"/>
          <w:sz w:val="24"/>
          <w:szCs w:val="24"/>
        </w:rPr>
        <w:t>,</w:t>
      </w:r>
      <w:r w:rsidR="00275ACA">
        <w:rPr>
          <w:rFonts w:ascii="Arial" w:hAnsi="Arial" w:cs="Arial"/>
          <w:sz w:val="24"/>
          <w:szCs w:val="24"/>
        </w:rPr>
        <w:t xml:space="preserve"> </w:t>
      </w:r>
      <w:r w:rsidRPr="00241BFD">
        <w:rPr>
          <w:rFonts w:ascii="Arial" w:hAnsi="Arial" w:cs="Arial"/>
          <w:sz w:val="24"/>
          <w:szCs w:val="24"/>
        </w:rPr>
        <w:t>u 2025. godin</w:t>
      </w:r>
      <w:r w:rsidR="004851D6">
        <w:rPr>
          <w:rFonts w:ascii="Arial" w:hAnsi="Arial" w:cs="Arial"/>
          <w:sz w:val="24"/>
          <w:szCs w:val="24"/>
        </w:rPr>
        <w:t>i</w:t>
      </w:r>
      <w:r w:rsidRPr="00241BFD">
        <w:rPr>
          <w:rFonts w:ascii="Arial" w:hAnsi="Arial" w:cs="Arial"/>
          <w:sz w:val="24"/>
          <w:szCs w:val="24"/>
        </w:rPr>
        <w:t xml:space="preserve"> se planira </w:t>
      </w:r>
      <w:r w:rsidR="004851D6">
        <w:rPr>
          <w:rFonts w:ascii="Arial" w:hAnsi="Arial" w:cs="Arial"/>
          <w:sz w:val="24"/>
          <w:szCs w:val="24"/>
        </w:rPr>
        <w:t>is</w:t>
      </w:r>
      <w:r w:rsidRPr="00241BFD">
        <w:rPr>
          <w:rFonts w:ascii="Arial" w:hAnsi="Arial" w:cs="Arial"/>
          <w:sz w:val="24"/>
          <w:szCs w:val="24"/>
        </w:rPr>
        <w:t xml:space="preserve">koristiti </w:t>
      </w:r>
      <w:r w:rsidR="004851D6">
        <w:rPr>
          <w:rFonts w:ascii="Arial" w:hAnsi="Arial" w:cs="Arial"/>
          <w:sz w:val="24"/>
          <w:szCs w:val="24"/>
        </w:rPr>
        <w:t xml:space="preserve">taj predujam, a ukupan iznos planiranih rashoda </w:t>
      </w:r>
      <w:r w:rsidRPr="00241BFD">
        <w:rPr>
          <w:rFonts w:ascii="Arial" w:hAnsi="Arial" w:cs="Arial"/>
          <w:sz w:val="24"/>
          <w:szCs w:val="24"/>
        </w:rPr>
        <w:t xml:space="preserve">za </w:t>
      </w:r>
      <w:r w:rsidR="004851D6">
        <w:rPr>
          <w:rFonts w:ascii="Arial" w:hAnsi="Arial" w:cs="Arial"/>
          <w:sz w:val="24"/>
          <w:szCs w:val="24"/>
        </w:rPr>
        <w:t xml:space="preserve">2026. godinu iznosi 4.915.170,00 </w:t>
      </w:r>
      <w:r w:rsidRPr="00241BFD">
        <w:rPr>
          <w:rFonts w:ascii="Arial" w:hAnsi="Arial" w:cs="Arial"/>
          <w:sz w:val="24"/>
          <w:szCs w:val="24"/>
        </w:rPr>
        <w:t>eura.</w:t>
      </w:r>
    </w:p>
    <w:p w:rsidR="003E3842" w:rsidRPr="00241BFD" w:rsidRDefault="003E3842" w:rsidP="00F3297B">
      <w:pPr>
        <w:jc w:val="both"/>
        <w:rPr>
          <w:rFonts w:ascii="Arial" w:hAnsi="Arial" w:cs="Arial"/>
          <w:sz w:val="24"/>
          <w:szCs w:val="24"/>
        </w:rPr>
      </w:pPr>
    </w:p>
    <w:p w:rsidR="00430655" w:rsidRPr="00241BFD" w:rsidRDefault="00430655" w:rsidP="00F3297B">
      <w:pPr>
        <w:jc w:val="both"/>
        <w:rPr>
          <w:rFonts w:ascii="Arial" w:hAnsi="Arial" w:cs="Arial"/>
          <w:sz w:val="24"/>
          <w:szCs w:val="24"/>
        </w:rPr>
      </w:pPr>
    </w:p>
    <w:p w:rsidR="005B2C67" w:rsidRPr="00241BFD" w:rsidRDefault="005B2C67" w:rsidP="00F3297B">
      <w:pPr>
        <w:jc w:val="both"/>
        <w:rPr>
          <w:rFonts w:ascii="Arial" w:hAnsi="Arial" w:cs="Arial"/>
          <w:sz w:val="24"/>
          <w:szCs w:val="24"/>
        </w:rPr>
      </w:pPr>
    </w:p>
    <w:p w:rsidR="00401087" w:rsidRPr="00241BFD" w:rsidRDefault="00401087" w:rsidP="00F3297B">
      <w:pPr>
        <w:jc w:val="both"/>
        <w:rPr>
          <w:rFonts w:ascii="Arial" w:hAnsi="Arial" w:cs="Arial"/>
          <w:sz w:val="24"/>
          <w:szCs w:val="24"/>
        </w:rPr>
      </w:pPr>
    </w:p>
    <w:p w:rsidR="00CF4834" w:rsidRPr="00241BFD" w:rsidRDefault="00CF4834" w:rsidP="00A07468">
      <w:pPr>
        <w:rPr>
          <w:rFonts w:ascii="Arial" w:hAnsi="Arial" w:cs="Arial"/>
          <w:b/>
          <w:sz w:val="24"/>
          <w:szCs w:val="24"/>
        </w:rPr>
      </w:pPr>
    </w:p>
    <w:p w:rsidR="00CF4834" w:rsidRPr="00241BFD" w:rsidRDefault="00CF4834" w:rsidP="00A07468">
      <w:pPr>
        <w:rPr>
          <w:rFonts w:ascii="Arial" w:hAnsi="Arial" w:cs="Arial"/>
          <w:b/>
          <w:sz w:val="24"/>
          <w:szCs w:val="24"/>
        </w:rPr>
      </w:pPr>
    </w:p>
    <w:p w:rsidR="00CF4834" w:rsidRPr="00241BFD" w:rsidRDefault="00CF4834" w:rsidP="00A07468">
      <w:pPr>
        <w:rPr>
          <w:rFonts w:ascii="Arial" w:hAnsi="Arial" w:cs="Arial"/>
          <w:b/>
          <w:sz w:val="24"/>
          <w:szCs w:val="24"/>
        </w:rPr>
      </w:pPr>
    </w:p>
    <w:p w:rsidR="007075F6" w:rsidRPr="00241BFD" w:rsidRDefault="007075F6" w:rsidP="00A07468">
      <w:pPr>
        <w:rPr>
          <w:rFonts w:ascii="Arial" w:hAnsi="Arial" w:cs="Arial"/>
          <w:noProof/>
          <w:sz w:val="24"/>
          <w:szCs w:val="24"/>
        </w:rPr>
      </w:pPr>
    </w:p>
    <w:p w:rsidR="00CF4834" w:rsidRPr="00241BFD" w:rsidRDefault="00CF4834" w:rsidP="00A07468">
      <w:pPr>
        <w:rPr>
          <w:rFonts w:ascii="Arial" w:hAnsi="Arial" w:cs="Arial"/>
          <w:b/>
          <w:sz w:val="24"/>
          <w:szCs w:val="24"/>
        </w:rPr>
      </w:pPr>
    </w:p>
    <w:p w:rsidR="00CF4834" w:rsidRPr="00241BFD" w:rsidRDefault="00D56A23" w:rsidP="00A07468">
      <w:pPr>
        <w:rPr>
          <w:rFonts w:ascii="Arial" w:hAnsi="Arial" w:cs="Arial"/>
          <w:b/>
          <w:sz w:val="24"/>
          <w:szCs w:val="24"/>
        </w:rPr>
      </w:pPr>
      <w:r w:rsidRPr="00D56A23">
        <w:rPr>
          <w:noProof/>
        </w:rPr>
        <w:lastRenderedPageBreak/>
        <w:drawing>
          <wp:inline distT="0" distB="0" distL="0" distR="0">
            <wp:extent cx="6242050" cy="9001971"/>
            <wp:effectExtent l="0" t="0" r="6350" b="889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813" cy="9013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834" w:rsidRPr="00241BFD" w:rsidRDefault="00D56A23" w:rsidP="00A07468">
      <w:pPr>
        <w:rPr>
          <w:rFonts w:ascii="Arial" w:hAnsi="Arial" w:cs="Arial"/>
          <w:b/>
          <w:sz w:val="24"/>
          <w:szCs w:val="24"/>
        </w:rPr>
      </w:pPr>
      <w:r w:rsidRPr="00D56A23">
        <w:rPr>
          <w:noProof/>
        </w:rPr>
        <w:lastRenderedPageBreak/>
        <w:drawing>
          <wp:inline distT="0" distB="0" distL="0" distR="0">
            <wp:extent cx="6260123" cy="8527415"/>
            <wp:effectExtent l="0" t="0" r="7620" b="6985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090" cy="8540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834" w:rsidRPr="00241BFD" w:rsidRDefault="00D56A23" w:rsidP="00A07468">
      <w:pPr>
        <w:rPr>
          <w:rFonts w:ascii="Arial" w:hAnsi="Arial" w:cs="Arial"/>
          <w:b/>
          <w:sz w:val="24"/>
          <w:szCs w:val="24"/>
        </w:rPr>
      </w:pPr>
      <w:r w:rsidRPr="00D56A23">
        <w:rPr>
          <w:noProof/>
        </w:rPr>
        <w:lastRenderedPageBreak/>
        <w:drawing>
          <wp:inline distT="0" distB="0" distL="0" distR="0">
            <wp:extent cx="6250940" cy="8945815"/>
            <wp:effectExtent l="0" t="0" r="0" b="8255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383" cy="896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D8D" w:rsidRPr="00241BFD" w:rsidRDefault="004F6149" w:rsidP="00A07468">
      <w:pPr>
        <w:rPr>
          <w:rFonts w:ascii="Arial" w:hAnsi="Arial" w:cs="Arial"/>
          <w:b/>
          <w:sz w:val="24"/>
          <w:szCs w:val="24"/>
        </w:rPr>
      </w:pPr>
      <w:r w:rsidRPr="004F6149">
        <w:rPr>
          <w:noProof/>
        </w:rPr>
        <w:lastRenderedPageBreak/>
        <w:drawing>
          <wp:inline distT="0" distB="0" distL="0" distR="0">
            <wp:extent cx="6286431" cy="8765931"/>
            <wp:effectExtent l="0" t="0" r="635" b="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666" cy="878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022" w:rsidRPr="00241BFD" w:rsidRDefault="00AA084A" w:rsidP="00A07468">
      <w:pPr>
        <w:rPr>
          <w:rFonts w:ascii="Arial" w:hAnsi="Arial" w:cs="Arial"/>
          <w:b/>
          <w:sz w:val="24"/>
          <w:szCs w:val="24"/>
        </w:rPr>
      </w:pPr>
      <w:r w:rsidRPr="00AA084A">
        <w:rPr>
          <w:noProof/>
        </w:rPr>
        <w:lastRenderedPageBreak/>
        <w:drawing>
          <wp:inline distT="0" distB="0" distL="0" distR="0">
            <wp:extent cx="6286500" cy="7992208"/>
            <wp:effectExtent l="0" t="0" r="0" b="889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019" cy="799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B66" w:rsidRPr="00241BFD" w:rsidRDefault="00AA084A" w:rsidP="00A07468">
      <w:pPr>
        <w:rPr>
          <w:rFonts w:ascii="Arial" w:hAnsi="Arial" w:cs="Arial"/>
          <w:b/>
          <w:sz w:val="24"/>
          <w:szCs w:val="24"/>
        </w:rPr>
      </w:pPr>
      <w:r w:rsidRPr="00AA084A">
        <w:rPr>
          <w:noProof/>
        </w:rPr>
        <w:lastRenderedPageBreak/>
        <w:drawing>
          <wp:inline distT="0" distB="0" distL="0" distR="0">
            <wp:extent cx="6268085" cy="8809893"/>
            <wp:effectExtent l="0" t="0" r="0" b="0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331" cy="883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B66" w:rsidRPr="00241BFD" w:rsidRDefault="00AA084A" w:rsidP="00A07468">
      <w:pPr>
        <w:rPr>
          <w:rFonts w:ascii="Arial" w:hAnsi="Arial" w:cs="Arial"/>
          <w:b/>
          <w:sz w:val="24"/>
          <w:szCs w:val="24"/>
        </w:rPr>
      </w:pPr>
      <w:r w:rsidRPr="00AA084A">
        <w:rPr>
          <w:noProof/>
        </w:rPr>
        <w:lastRenderedPageBreak/>
        <w:drawing>
          <wp:inline distT="0" distB="0" distL="0" distR="0">
            <wp:extent cx="6277610" cy="7605347"/>
            <wp:effectExtent l="0" t="0" r="8890" b="0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064" cy="7613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B66" w:rsidRPr="00241BFD" w:rsidRDefault="00366B66" w:rsidP="00A07468">
      <w:pPr>
        <w:rPr>
          <w:rFonts w:ascii="Arial" w:hAnsi="Arial" w:cs="Arial"/>
          <w:b/>
          <w:sz w:val="24"/>
          <w:szCs w:val="24"/>
        </w:rPr>
      </w:pPr>
    </w:p>
    <w:p w:rsidR="00170DC5" w:rsidRPr="00401087" w:rsidRDefault="00170DC5" w:rsidP="00A0746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70DC5" w:rsidRPr="00401087" w:rsidSect="00E658C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1583C"/>
    <w:multiLevelType w:val="hybridMultilevel"/>
    <w:tmpl w:val="02748422"/>
    <w:lvl w:ilvl="0" w:tplc="A86A9C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8120A"/>
    <w:multiLevelType w:val="hybridMultilevel"/>
    <w:tmpl w:val="7ED2A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C1FAC"/>
    <w:multiLevelType w:val="hybridMultilevel"/>
    <w:tmpl w:val="BDB67DE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35AAC"/>
    <w:multiLevelType w:val="hybridMultilevel"/>
    <w:tmpl w:val="6C6A94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3281F"/>
    <w:multiLevelType w:val="hybridMultilevel"/>
    <w:tmpl w:val="D7E2A6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94262"/>
    <w:multiLevelType w:val="hybridMultilevel"/>
    <w:tmpl w:val="D47C1CE6"/>
    <w:lvl w:ilvl="0" w:tplc="053E707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87101A7"/>
    <w:multiLevelType w:val="hybridMultilevel"/>
    <w:tmpl w:val="02748422"/>
    <w:lvl w:ilvl="0" w:tplc="A86A9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B2"/>
    <w:rsid w:val="000108D5"/>
    <w:rsid w:val="00011953"/>
    <w:rsid w:val="000176F7"/>
    <w:rsid w:val="0006465E"/>
    <w:rsid w:val="00074D0F"/>
    <w:rsid w:val="00083587"/>
    <w:rsid w:val="00084AC4"/>
    <w:rsid w:val="000B098D"/>
    <w:rsid w:val="000C6B3F"/>
    <w:rsid w:val="000E345E"/>
    <w:rsid w:val="000F4EAA"/>
    <w:rsid w:val="000F6475"/>
    <w:rsid w:val="0011029E"/>
    <w:rsid w:val="001224A2"/>
    <w:rsid w:val="0012340F"/>
    <w:rsid w:val="001279F3"/>
    <w:rsid w:val="00132794"/>
    <w:rsid w:val="0013448C"/>
    <w:rsid w:val="00143C04"/>
    <w:rsid w:val="00157FAD"/>
    <w:rsid w:val="00170A2D"/>
    <w:rsid w:val="00170D5C"/>
    <w:rsid w:val="00170DC5"/>
    <w:rsid w:val="001746AD"/>
    <w:rsid w:val="00174D74"/>
    <w:rsid w:val="00176501"/>
    <w:rsid w:val="00177312"/>
    <w:rsid w:val="00180509"/>
    <w:rsid w:val="00190DB7"/>
    <w:rsid w:val="00197E1A"/>
    <w:rsid w:val="001B6E43"/>
    <w:rsid w:val="001C7DA1"/>
    <w:rsid w:val="001D70BF"/>
    <w:rsid w:val="001E10FC"/>
    <w:rsid w:val="001F0538"/>
    <w:rsid w:val="001F7BFE"/>
    <w:rsid w:val="002106E5"/>
    <w:rsid w:val="002207F4"/>
    <w:rsid w:val="00227055"/>
    <w:rsid w:val="00241BFD"/>
    <w:rsid w:val="00245D7E"/>
    <w:rsid w:val="0025136C"/>
    <w:rsid w:val="002611F0"/>
    <w:rsid w:val="002626DF"/>
    <w:rsid w:val="00273FEE"/>
    <w:rsid w:val="00275ACA"/>
    <w:rsid w:val="002828A1"/>
    <w:rsid w:val="00284E94"/>
    <w:rsid w:val="002A2975"/>
    <w:rsid w:val="002A43A7"/>
    <w:rsid w:val="002A762B"/>
    <w:rsid w:val="002B1540"/>
    <w:rsid w:val="002C1761"/>
    <w:rsid w:val="002C3BDE"/>
    <w:rsid w:val="002D2F5B"/>
    <w:rsid w:val="002D3A64"/>
    <w:rsid w:val="002D54EF"/>
    <w:rsid w:val="002F4A00"/>
    <w:rsid w:val="0030526D"/>
    <w:rsid w:val="003076CB"/>
    <w:rsid w:val="00312D8D"/>
    <w:rsid w:val="00313D6E"/>
    <w:rsid w:val="0031434C"/>
    <w:rsid w:val="003404C2"/>
    <w:rsid w:val="0034062A"/>
    <w:rsid w:val="00343025"/>
    <w:rsid w:val="0034398E"/>
    <w:rsid w:val="003508FF"/>
    <w:rsid w:val="0035255A"/>
    <w:rsid w:val="003625A6"/>
    <w:rsid w:val="00366B66"/>
    <w:rsid w:val="00383610"/>
    <w:rsid w:val="003919D3"/>
    <w:rsid w:val="003A399C"/>
    <w:rsid w:val="003D7F50"/>
    <w:rsid w:val="003E3842"/>
    <w:rsid w:val="00401087"/>
    <w:rsid w:val="00430655"/>
    <w:rsid w:val="00445619"/>
    <w:rsid w:val="00446EB2"/>
    <w:rsid w:val="00456F7F"/>
    <w:rsid w:val="004606AB"/>
    <w:rsid w:val="00470B03"/>
    <w:rsid w:val="004851D6"/>
    <w:rsid w:val="00486CAE"/>
    <w:rsid w:val="004A741D"/>
    <w:rsid w:val="004B26EB"/>
    <w:rsid w:val="004B5EAD"/>
    <w:rsid w:val="004C69D4"/>
    <w:rsid w:val="004D421F"/>
    <w:rsid w:val="004E6B34"/>
    <w:rsid w:val="004F1527"/>
    <w:rsid w:val="004F6149"/>
    <w:rsid w:val="00507806"/>
    <w:rsid w:val="00510B40"/>
    <w:rsid w:val="00527646"/>
    <w:rsid w:val="00542C49"/>
    <w:rsid w:val="00544A3B"/>
    <w:rsid w:val="00550FDE"/>
    <w:rsid w:val="005608AC"/>
    <w:rsid w:val="005645E6"/>
    <w:rsid w:val="00593086"/>
    <w:rsid w:val="005B1D13"/>
    <w:rsid w:val="005B2C67"/>
    <w:rsid w:val="005B7EE0"/>
    <w:rsid w:val="005D1946"/>
    <w:rsid w:val="005D4A71"/>
    <w:rsid w:val="00604E87"/>
    <w:rsid w:val="00630AE1"/>
    <w:rsid w:val="00651819"/>
    <w:rsid w:val="00683D25"/>
    <w:rsid w:val="00697835"/>
    <w:rsid w:val="00697FC5"/>
    <w:rsid w:val="006A5EBF"/>
    <w:rsid w:val="006B52C5"/>
    <w:rsid w:val="006B6D8D"/>
    <w:rsid w:val="006D7B62"/>
    <w:rsid w:val="007075F6"/>
    <w:rsid w:val="007079B1"/>
    <w:rsid w:val="00731496"/>
    <w:rsid w:val="007314AD"/>
    <w:rsid w:val="00736521"/>
    <w:rsid w:val="007404AF"/>
    <w:rsid w:val="0074083F"/>
    <w:rsid w:val="00745B8F"/>
    <w:rsid w:val="00746073"/>
    <w:rsid w:val="00782398"/>
    <w:rsid w:val="007B33C5"/>
    <w:rsid w:val="007C4A0A"/>
    <w:rsid w:val="007C64A5"/>
    <w:rsid w:val="007D1089"/>
    <w:rsid w:val="007E6403"/>
    <w:rsid w:val="007F58BA"/>
    <w:rsid w:val="0080094D"/>
    <w:rsid w:val="00802C4E"/>
    <w:rsid w:val="00824D6D"/>
    <w:rsid w:val="00852BF2"/>
    <w:rsid w:val="008805B1"/>
    <w:rsid w:val="008A0EE3"/>
    <w:rsid w:val="008B24E4"/>
    <w:rsid w:val="008C0BCE"/>
    <w:rsid w:val="00906895"/>
    <w:rsid w:val="009346BA"/>
    <w:rsid w:val="00945D3C"/>
    <w:rsid w:val="0097090E"/>
    <w:rsid w:val="009760CA"/>
    <w:rsid w:val="0097737F"/>
    <w:rsid w:val="00977793"/>
    <w:rsid w:val="0099098B"/>
    <w:rsid w:val="009A2BBA"/>
    <w:rsid w:val="009B7ABF"/>
    <w:rsid w:val="009C396C"/>
    <w:rsid w:val="009D0A2F"/>
    <w:rsid w:val="009D0E92"/>
    <w:rsid w:val="009D4D27"/>
    <w:rsid w:val="009E7709"/>
    <w:rsid w:val="009F0D2A"/>
    <w:rsid w:val="00A070C0"/>
    <w:rsid w:val="00A07468"/>
    <w:rsid w:val="00A13293"/>
    <w:rsid w:val="00A157A9"/>
    <w:rsid w:val="00A2376E"/>
    <w:rsid w:val="00A27653"/>
    <w:rsid w:val="00A70AAC"/>
    <w:rsid w:val="00A83092"/>
    <w:rsid w:val="00A8355C"/>
    <w:rsid w:val="00A86022"/>
    <w:rsid w:val="00A91215"/>
    <w:rsid w:val="00A94AA9"/>
    <w:rsid w:val="00A97AC4"/>
    <w:rsid w:val="00AA084A"/>
    <w:rsid w:val="00AB571D"/>
    <w:rsid w:val="00AC529F"/>
    <w:rsid w:val="00AD67FD"/>
    <w:rsid w:val="00AE30D1"/>
    <w:rsid w:val="00AF51FC"/>
    <w:rsid w:val="00B05E84"/>
    <w:rsid w:val="00B170C6"/>
    <w:rsid w:val="00B25456"/>
    <w:rsid w:val="00B31010"/>
    <w:rsid w:val="00B33375"/>
    <w:rsid w:val="00B35E52"/>
    <w:rsid w:val="00B508A3"/>
    <w:rsid w:val="00B51810"/>
    <w:rsid w:val="00B55DF0"/>
    <w:rsid w:val="00B807AC"/>
    <w:rsid w:val="00B8171A"/>
    <w:rsid w:val="00B9468C"/>
    <w:rsid w:val="00BA2287"/>
    <w:rsid w:val="00BA3DF6"/>
    <w:rsid w:val="00BA3E59"/>
    <w:rsid w:val="00BB2473"/>
    <w:rsid w:val="00BB638C"/>
    <w:rsid w:val="00BC6030"/>
    <w:rsid w:val="00C2130A"/>
    <w:rsid w:val="00C3100B"/>
    <w:rsid w:val="00C338CE"/>
    <w:rsid w:val="00C4456B"/>
    <w:rsid w:val="00C6248F"/>
    <w:rsid w:val="00C64F05"/>
    <w:rsid w:val="00C664F0"/>
    <w:rsid w:val="00C8240B"/>
    <w:rsid w:val="00C833CE"/>
    <w:rsid w:val="00C9121A"/>
    <w:rsid w:val="00C939A9"/>
    <w:rsid w:val="00CF4834"/>
    <w:rsid w:val="00D13414"/>
    <w:rsid w:val="00D1370D"/>
    <w:rsid w:val="00D20E68"/>
    <w:rsid w:val="00D25AA6"/>
    <w:rsid w:val="00D50BC3"/>
    <w:rsid w:val="00D53E6B"/>
    <w:rsid w:val="00D56A23"/>
    <w:rsid w:val="00D574A7"/>
    <w:rsid w:val="00D66731"/>
    <w:rsid w:val="00D72A81"/>
    <w:rsid w:val="00D85AE9"/>
    <w:rsid w:val="00DA5D32"/>
    <w:rsid w:val="00DA6E33"/>
    <w:rsid w:val="00DD7C1D"/>
    <w:rsid w:val="00DE164C"/>
    <w:rsid w:val="00E1446A"/>
    <w:rsid w:val="00E42561"/>
    <w:rsid w:val="00E61656"/>
    <w:rsid w:val="00E658C3"/>
    <w:rsid w:val="00E85714"/>
    <w:rsid w:val="00EA6DA6"/>
    <w:rsid w:val="00EB5967"/>
    <w:rsid w:val="00F25411"/>
    <w:rsid w:val="00F26F63"/>
    <w:rsid w:val="00F3297B"/>
    <w:rsid w:val="00F378A0"/>
    <w:rsid w:val="00F4064C"/>
    <w:rsid w:val="00F43A59"/>
    <w:rsid w:val="00F508EF"/>
    <w:rsid w:val="00F50CB1"/>
    <w:rsid w:val="00F6778C"/>
    <w:rsid w:val="00FA42C2"/>
    <w:rsid w:val="00FA444F"/>
    <w:rsid w:val="00FB220A"/>
    <w:rsid w:val="00FB4AB8"/>
    <w:rsid w:val="00FD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3E246"/>
  <w15:chartTrackingRefBased/>
  <w15:docId w15:val="{03D8078C-3572-4443-B1E8-8F1473DA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D20E68"/>
    <w:pPr>
      <w:ind w:left="720"/>
      <w:contextualSpacing/>
    </w:p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D20E68"/>
  </w:style>
  <w:style w:type="paragraph" w:styleId="Obinitekst">
    <w:name w:val="Plain Text"/>
    <w:basedOn w:val="Normal"/>
    <w:link w:val="ObinitekstChar"/>
    <w:uiPriority w:val="99"/>
    <w:rsid w:val="0090689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906895"/>
    <w:rPr>
      <w:rFonts w:ascii="Courier New" w:eastAsia="Times New Roman" w:hAnsi="Courier New" w:cs="Courier New"/>
      <w:sz w:val="20"/>
      <w:szCs w:val="20"/>
      <w:lang w:eastAsia="hr-HR"/>
    </w:rPr>
  </w:style>
  <w:style w:type="table" w:styleId="Reetkatablice">
    <w:name w:val="Table Grid"/>
    <w:basedOn w:val="Obinatablica"/>
    <w:uiPriority w:val="39"/>
    <w:rsid w:val="00190D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17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Novotny</dc:creator>
  <cp:keywords/>
  <dc:description/>
  <cp:lastModifiedBy>Dijana Novotny</cp:lastModifiedBy>
  <cp:revision>11</cp:revision>
  <dcterms:created xsi:type="dcterms:W3CDTF">2025-12-18T12:29:00Z</dcterms:created>
  <dcterms:modified xsi:type="dcterms:W3CDTF">2025-12-18T13:24:00Z</dcterms:modified>
</cp:coreProperties>
</file>