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36C" w:rsidRPr="00401087" w:rsidRDefault="0025136C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 w:rsidP="00446EB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HRVATSKI POVIJESNI MUZEJ</w:t>
      </w:r>
    </w:p>
    <w:p w:rsidR="00446EB2" w:rsidRPr="00401087" w:rsidRDefault="00446EB2" w:rsidP="00446EB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OBRAZLOŽENJE FINANCIJSKOG PLANA ZA RAZDOBLJE OD 202</w:t>
      </w:r>
      <w:r w:rsidR="00DA5D32" w:rsidRPr="00401087">
        <w:rPr>
          <w:rFonts w:ascii="Times New Roman" w:hAnsi="Times New Roman" w:cs="Times New Roman"/>
          <w:sz w:val="24"/>
          <w:szCs w:val="24"/>
        </w:rPr>
        <w:t>4</w:t>
      </w:r>
      <w:r w:rsidRPr="00401087">
        <w:rPr>
          <w:rFonts w:ascii="Times New Roman" w:hAnsi="Times New Roman" w:cs="Times New Roman"/>
          <w:sz w:val="24"/>
          <w:szCs w:val="24"/>
        </w:rPr>
        <w:t>. GODINE DO 202</w:t>
      </w:r>
      <w:r w:rsidR="00DA5D32" w:rsidRPr="00401087">
        <w:rPr>
          <w:rFonts w:ascii="Times New Roman" w:hAnsi="Times New Roman" w:cs="Times New Roman"/>
          <w:sz w:val="24"/>
          <w:szCs w:val="24"/>
        </w:rPr>
        <w:t>6</w:t>
      </w:r>
      <w:r w:rsidRPr="00401087">
        <w:rPr>
          <w:rFonts w:ascii="Times New Roman" w:hAnsi="Times New Roman" w:cs="Times New Roman"/>
          <w:sz w:val="24"/>
          <w:szCs w:val="24"/>
        </w:rPr>
        <w:t>. GODINE</w:t>
      </w: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7E6403">
        <w:rPr>
          <w:rFonts w:ascii="Times New Roman" w:hAnsi="Times New Roman" w:cs="Times New Roman"/>
          <w:sz w:val="24"/>
          <w:szCs w:val="24"/>
        </w:rPr>
        <w:t>02</w:t>
      </w:r>
      <w:r w:rsidR="00DA5D32" w:rsidRPr="00401087">
        <w:rPr>
          <w:rFonts w:ascii="Times New Roman" w:hAnsi="Times New Roman" w:cs="Times New Roman"/>
          <w:sz w:val="24"/>
          <w:szCs w:val="24"/>
        </w:rPr>
        <w:t>.</w:t>
      </w:r>
      <w:r w:rsidR="007E6403">
        <w:rPr>
          <w:rFonts w:ascii="Times New Roman" w:hAnsi="Times New Roman" w:cs="Times New Roman"/>
          <w:sz w:val="24"/>
          <w:szCs w:val="24"/>
        </w:rPr>
        <w:t>10</w:t>
      </w:r>
      <w:r w:rsidR="00DA5D32" w:rsidRPr="00401087">
        <w:rPr>
          <w:rFonts w:ascii="Times New Roman" w:hAnsi="Times New Roman" w:cs="Times New Roman"/>
          <w:sz w:val="24"/>
          <w:szCs w:val="24"/>
        </w:rPr>
        <w:t>.2023</w:t>
      </w:r>
      <w:r w:rsidRPr="00401087">
        <w:rPr>
          <w:rFonts w:ascii="Times New Roman" w:hAnsi="Times New Roman" w:cs="Times New Roman"/>
          <w:sz w:val="24"/>
          <w:szCs w:val="24"/>
        </w:rPr>
        <w:t>.</w:t>
      </w: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EB5967" w:rsidRPr="00401087" w:rsidRDefault="00EB5967" w:rsidP="00EB5967">
      <w:pPr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lastRenderedPageBreak/>
        <w:t>HRVATSKI POVIJESNI MUZEJ</w:t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b/>
          <w:sz w:val="24"/>
          <w:szCs w:val="24"/>
        </w:rPr>
        <w:t>Broj RKP-a</w:t>
      </w:r>
      <w:r w:rsidRPr="00401087">
        <w:rPr>
          <w:rFonts w:ascii="Times New Roman" w:hAnsi="Times New Roman" w:cs="Times New Roman"/>
          <w:sz w:val="24"/>
          <w:szCs w:val="24"/>
        </w:rPr>
        <w:t>: 00965</w:t>
      </w:r>
    </w:p>
    <w:p w:rsidR="00EB5967" w:rsidRPr="00401087" w:rsidRDefault="00EB5967" w:rsidP="00EB5967">
      <w:pPr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MATOŠEVA 9</w:t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b/>
          <w:sz w:val="24"/>
          <w:szCs w:val="24"/>
        </w:rPr>
        <w:t>Matični broj</w:t>
      </w:r>
      <w:r w:rsidRPr="00401087">
        <w:rPr>
          <w:rFonts w:ascii="Times New Roman" w:hAnsi="Times New Roman" w:cs="Times New Roman"/>
          <w:sz w:val="24"/>
          <w:szCs w:val="24"/>
        </w:rPr>
        <w:t>: 032120</w:t>
      </w:r>
    </w:p>
    <w:p w:rsidR="00EB5967" w:rsidRPr="00401087" w:rsidRDefault="00EB5967" w:rsidP="00EB5967">
      <w:pPr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10000 ZAGREB</w:t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b/>
          <w:sz w:val="24"/>
          <w:szCs w:val="24"/>
        </w:rPr>
        <w:t>Razina</w:t>
      </w:r>
      <w:r w:rsidRPr="00401087">
        <w:rPr>
          <w:rFonts w:ascii="Times New Roman" w:hAnsi="Times New Roman" w:cs="Times New Roman"/>
          <w:sz w:val="24"/>
          <w:szCs w:val="24"/>
        </w:rPr>
        <w:t>: 11</w:t>
      </w:r>
    </w:p>
    <w:p w:rsidR="00EB5967" w:rsidRPr="00401087" w:rsidRDefault="00EB5967" w:rsidP="00EB5967">
      <w:pPr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b/>
          <w:sz w:val="24"/>
          <w:szCs w:val="24"/>
        </w:rPr>
        <w:t>OIB</w:t>
      </w:r>
      <w:r w:rsidRPr="00401087">
        <w:rPr>
          <w:rFonts w:ascii="Times New Roman" w:hAnsi="Times New Roman" w:cs="Times New Roman"/>
          <w:sz w:val="24"/>
          <w:szCs w:val="24"/>
        </w:rPr>
        <w:t>: 10624495854</w:t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="005B2C6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b/>
          <w:sz w:val="24"/>
          <w:szCs w:val="24"/>
        </w:rPr>
        <w:t>Razdjel</w:t>
      </w:r>
      <w:r w:rsidRPr="00401087">
        <w:rPr>
          <w:rFonts w:ascii="Times New Roman" w:hAnsi="Times New Roman" w:cs="Times New Roman"/>
          <w:sz w:val="24"/>
          <w:szCs w:val="24"/>
        </w:rPr>
        <w:t>: 055</w:t>
      </w:r>
    </w:p>
    <w:p w:rsidR="00EB5967" w:rsidRPr="00401087" w:rsidRDefault="00EB5967" w:rsidP="00EB5967">
      <w:pPr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="005B2C6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b/>
          <w:sz w:val="24"/>
          <w:szCs w:val="24"/>
        </w:rPr>
        <w:t>Šifra djelatnosti</w:t>
      </w:r>
      <w:r w:rsidRPr="00401087">
        <w:rPr>
          <w:rFonts w:ascii="Times New Roman" w:hAnsi="Times New Roman" w:cs="Times New Roman"/>
          <w:sz w:val="24"/>
          <w:szCs w:val="24"/>
        </w:rPr>
        <w:t>: 9102</w:t>
      </w: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EB5967" w:rsidRPr="00401087" w:rsidRDefault="00EB5967">
      <w:pPr>
        <w:rPr>
          <w:rFonts w:ascii="Times New Roman" w:hAnsi="Times New Roman" w:cs="Times New Roman"/>
          <w:sz w:val="24"/>
          <w:szCs w:val="24"/>
        </w:rPr>
      </w:pPr>
    </w:p>
    <w:p w:rsidR="00EB5967" w:rsidRPr="00401087" w:rsidRDefault="00EB5967">
      <w:pPr>
        <w:rPr>
          <w:rFonts w:ascii="Times New Roman" w:hAnsi="Times New Roman" w:cs="Times New Roman"/>
          <w:sz w:val="24"/>
          <w:szCs w:val="24"/>
        </w:rPr>
      </w:pPr>
    </w:p>
    <w:p w:rsidR="00EB5967" w:rsidRPr="00401087" w:rsidRDefault="00EB5967">
      <w:pPr>
        <w:rPr>
          <w:rFonts w:ascii="Times New Roman" w:hAnsi="Times New Roman" w:cs="Times New Roman"/>
          <w:sz w:val="24"/>
          <w:szCs w:val="24"/>
        </w:rPr>
      </w:pPr>
    </w:p>
    <w:p w:rsidR="00EB5967" w:rsidRPr="00401087" w:rsidRDefault="00EB5967">
      <w:pPr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Sukladno člancima 28. i 30. Zakona o proračunu (NN 87/08, 136/12</w:t>
      </w:r>
      <w:r w:rsidR="00C6248F">
        <w:rPr>
          <w:rFonts w:ascii="Times New Roman" w:hAnsi="Times New Roman" w:cs="Times New Roman"/>
          <w:sz w:val="24"/>
          <w:szCs w:val="24"/>
        </w:rPr>
        <w:t xml:space="preserve">, </w:t>
      </w:r>
      <w:r w:rsidRPr="00401087">
        <w:rPr>
          <w:rFonts w:ascii="Times New Roman" w:hAnsi="Times New Roman" w:cs="Times New Roman"/>
          <w:sz w:val="24"/>
          <w:szCs w:val="24"/>
        </w:rPr>
        <w:t>15/15</w:t>
      </w:r>
      <w:r w:rsidR="00C6248F">
        <w:rPr>
          <w:rFonts w:ascii="Times New Roman" w:hAnsi="Times New Roman" w:cs="Times New Roman"/>
          <w:sz w:val="24"/>
          <w:szCs w:val="24"/>
        </w:rPr>
        <w:t>, 144/21</w:t>
      </w:r>
      <w:r w:rsidRPr="00401087">
        <w:rPr>
          <w:rFonts w:ascii="Times New Roman" w:hAnsi="Times New Roman" w:cs="Times New Roman"/>
          <w:sz w:val="24"/>
          <w:szCs w:val="24"/>
        </w:rPr>
        <w:t xml:space="preserve">) </w:t>
      </w:r>
      <w:r w:rsidR="00A07468" w:rsidRPr="00401087">
        <w:rPr>
          <w:rFonts w:ascii="Times New Roman" w:hAnsi="Times New Roman" w:cs="Times New Roman"/>
          <w:sz w:val="24"/>
          <w:szCs w:val="24"/>
        </w:rPr>
        <w:t xml:space="preserve">i članku 47. Statuta </w:t>
      </w:r>
      <w:r w:rsidRPr="00401087">
        <w:rPr>
          <w:rFonts w:ascii="Times New Roman" w:hAnsi="Times New Roman" w:cs="Times New Roman"/>
          <w:sz w:val="24"/>
          <w:szCs w:val="24"/>
        </w:rPr>
        <w:t xml:space="preserve">Hrvatski povijesni muzej </w:t>
      </w:r>
      <w:r w:rsidR="00A07468" w:rsidRPr="00401087">
        <w:rPr>
          <w:rFonts w:ascii="Times New Roman" w:hAnsi="Times New Roman" w:cs="Times New Roman"/>
          <w:sz w:val="24"/>
          <w:szCs w:val="24"/>
        </w:rPr>
        <w:t xml:space="preserve">donosi </w:t>
      </w:r>
      <w:r w:rsidRPr="00401087">
        <w:rPr>
          <w:rFonts w:ascii="Times New Roman" w:hAnsi="Times New Roman" w:cs="Times New Roman"/>
          <w:sz w:val="24"/>
          <w:szCs w:val="24"/>
        </w:rPr>
        <w:t>prijedlog financijskog plana</w:t>
      </w:r>
      <w:r w:rsidR="00A07468" w:rsidRPr="00401087">
        <w:rPr>
          <w:rFonts w:ascii="Times New Roman" w:hAnsi="Times New Roman" w:cs="Times New Roman"/>
          <w:sz w:val="24"/>
          <w:szCs w:val="24"/>
        </w:rPr>
        <w:t xml:space="preserve"> za razdoblje od 202</w:t>
      </w:r>
      <w:r w:rsidR="002207F4" w:rsidRPr="00401087">
        <w:rPr>
          <w:rFonts w:ascii="Times New Roman" w:hAnsi="Times New Roman" w:cs="Times New Roman"/>
          <w:sz w:val="24"/>
          <w:szCs w:val="24"/>
        </w:rPr>
        <w:t>4</w:t>
      </w:r>
      <w:r w:rsidR="00A07468" w:rsidRPr="00401087">
        <w:rPr>
          <w:rFonts w:ascii="Times New Roman" w:hAnsi="Times New Roman" w:cs="Times New Roman"/>
          <w:sz w:val="24"/>
          <w:szCs w:val="24"/>
        </w:rPr>
        <w:t>. do 202</w:t>
      </w:r>
      <w:r w:rsidR="00DA5D32" w:rsidRPr="00401087">
        <w:rPr>
          <w:rFonts w:ascii="Times New Roman" w:hAnsi="Times New Roman" w:cs="Times New Roman"/>
          <w:sz w:val="24"/>
          <w:szCs w:val="24"/>
        </w:rPr>
        <w:t>6</w:t>
      </w:r>
      <w:r w:rsidR="00A07468" w:rsidRPr="00401087">
        <w:rPr>
          <w:rFonts w:ascii="Times New Roman" w:hAnsi="Times New Roman" w:cs="Times New Roman"/>
          <w:sz w:val="24"/>
          <w:szCs w:val="24"/>
        </w:rPr>
        <w:t>. godine.</w:t>
      </w:r>
    </w:p>
    <w:p w:rsidR="00C3100B" w:rsidRPr="00401087" w:rsidRDefault="00C3100B" w:rsidP="00A074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00B" w:rsidRPr="00401087" w:rsidRDefault="00C3100B" w:rsidP="00A07468">
      <w:pPr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Sadržaj i djelokrug rada Hrvatskog povijesnog muzeja:</w:t>
      </w:r>
    </w:p>
    <w:p w:rsidR="00C3100B" w:rsidRPr="00401087" w:rsidRDefault="00C3100B" w:rsidP="00A07468">
      <w:pPr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Hrvatski povijesni muzej je javna ustanova u kulturi koja obavlja muzejsko-galerijsku djelatnost u skladu sa Zakonom o muzejima (NN 110/15</w:t>
      </w:r>
      <w:r w:rsidR="006D7B62">
        <w:rPr>
          <w:rFonts w:ascii="Times New Roman" w:hAnsi="Times New Roman" w:cs="Times New Roman"/>
          <w:sz w:val="24"/>
          <w:szCs w:val="24"/>
        </w:rPr>
        <w:t>, 61/18, 98/19, 114/22</w:t>
      </w:r>
      <w:r w:rsidRPr="00401087">
        <w:rPr>
          <w:rFonts w:ascii="Times New Roman" w:hAnsi="Times New Roman" w:cs="Times New Roman"/>
          <w:sz w:val="24"/>
          <w:szCs w:val="24"/>
        </w:rPr>
        <w:t>), Zakonom o ustanovama (NN 76/93, 29/97, 47/99, 35/08</w:t>
      </w:r>
      <w:r w:rsidR="006D7B62">
        <w:rPr>
          <w:rFonts w:ascii="Times New Roman" w:hAnsi="Times New Roman" w:cs="Times New Roman"/>
          <w:sz w:val="24"/>
          <w:szCs w:val="24"/>
        </w:rPr>
        <w:t>, 127/19, 151/22</w:t>
      </w:r>
      <w:r w:rsidRPr="00401087">
        <w:rPr>
          <w:rFonts w:ascii="Times New Roman" w:hAnsi="Times New Roman" w:cs="Times New Roman"/>
          <w:sz w:val="24"/>
          <w:szCs w:val="24"/>
        </w:rPr>
        <w:t>), Zakonom o upravljanju javnim ustanovama u kulturi (NN 96/01</w:t>
      </w:r>
      <w:r w:rsidR="005B7EE0">
        <w:rPr>
          <w:rFonts w:ascii="Times New Roman" w:hAnsi="Times New Roman" w:cs="Times New Roman"/>
          <w:sz w:val="24"/>
          <w:szCs w:val="24"/>
        </w:rPr>
        <w:t>, 98/19</w:t>
      </w:r>
      <w:r w:rsidRPr="00401087">
        <w:rPr>
          <w:rFonts w:ascii="Times New Roman" w:hAnsi="Times New Roman" w:cs="Times New Roman"/>
          <w:sz w:val="24"/>
          <w:szCs w:val="24"/>
        </w:rPr>
        <w:t>), Zakonom o zaštiti i očuvanju kulturnih dobara (NN 69/99, 151/03, 157/03, 100/04, 87/09, 88/10, 61/11, 25/12, 136/12, 157/13, 152/14, 98/15</w:t>
      </w:r>
      <w:r w:rsidR="005608AC">
        <w:rPr>
          <w:rFonts w:ascii="Times New Roman" w:hAnsi="Times New Roman" w:cs="Times New Roman"/>
          <w:sz w:val="24"/>
          <w:szCs w:val="24"/>
        </w:rPr>
        <w:t>, 44/17, 90/18, 32/20, 62/20, 117/21, 114/22</w:t>
      </w:r>
      <w:r w:rsidRPr="00401087">
        <w:rPr>
          <w:rFonts w:ascii="Times New Roman" w:hAnsi="Times New Roman" w:cs="Times New Roman"/>
          <w:sz w:val="24"/>
          <w:szCs w:val="24"/>
        </w:rPr>
        <w:t>) i Statutu Muzeja.</w:t>
      </w:r>
    </w:p>
    <w:p w:rsidR="00A07468" w:rsidRPr="00401087" w:rsidRDefault="00A07468" w:rsidP="00A07468">
      <w:pPr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Osnivač Muzeja je Republika Hrvatska. </w:t>
      </w:r>
    </w:p>
    <w:p w:rsidR="00A07468" w:rsidRPr="00401087" w:rsidRDefault="00A07468" w:rsidP="00A07468">
      <w:pPr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U obavljanju muzejske djelatnosti Hrvatski povijesni muzej: </w:t>
      </w:r>
    </w:p>
    <w:p w:rsidR="00A07468" w:rsidRPr="00401087" w:rsidRDefault="00A07468" w:rsidP="00A0746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1.prikuplja muzejsku građu i muzejsku dokumentaciju sukladno svojoj misiji i politici skupljanja</w:t>
      </w:r>
    </w:p>
    <w:p w:rsidR="00A07468" w:rsidRPr="00401087" w:rsidRDefault="00A07468" w:rsidP="00A0746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2. čuva muzejske predmete u odgovarajućim uvjetima i štiti cjelokupnu muzejsku građu i muzejsku dokumentaciju, u svrhu obrazovanja, proučavanja i uživanja u skladu s propisima o zaštiti i očuvanju kulturnih dobara</w:t>
      </w:r>
    </w:p>
    <w:p w:rsidR="00A07468" w:rsidRPr="00401087" w:rsidRDefault="00A07468" w:rsidP="00A0746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3. vodi propisanu muzejsku dokumentaciju o muzejskim predmetima, zbirkama i aktivnostima muzeja, </w:t>
      </w:r>
    </w:p>
    <w:p w:rsidR="00A07468" w:rsidRPr="00401087" w:rsidRDefault="00A07468" w:rsidP="00A074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4. organizira stalne i povremene izložbe</w:t>
      </w:r>
    </w:p>
    <w:p w:rsidR="00A07468" w:rsidRPr="00401087" w:rsidRDefault="00A07468" w:rsidP="00A0746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5. organizira istraživanja, izdavačku djelatnost, predavanja, konferencije i stručne skupove te organizira edukativne aktivnosti i radionice </w:t>
      </w:r>
    </w:p>
    <w:p w:rsidR="00A07468" w:rsidRPr="00401087" w:rsidRDefault="00A07468" w:rsidP="00A074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lastRenderedPageBreak/>
        <w:t xml:space="preserve">6. podržava i organizira umjetnička i kulturna događanja u okviru svoga djelokruga </w:t>
      </w:r>
    </w:p>
    <w:p w:rsidR="00A07468" w:rsidRPr="00401087" w:rsidRDefault="00A07468" w:rsidP="00A0746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7. osigurava da poslove upravljanja muzejskom zbirkom obavljaju stručni muzejski djelatnici sukladno standardima </w:t>
      </w:r>
    </w:p>
    <w:p w:rsidR="00A07468" w:rsidRPr="00401087" w:rsidRDefault="00A07468" w:rsidP="00A074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8. osigurava dostupnost zbirki u obrazovne, stručne i znanstvene svrhe</w:t>
      </w:r>
    </w:p>
    <w:p w:rsidR="00A07468" w:rsidRPr="00401087" w:rsidRDefault="00A07468" w:rsidP="00A074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9. osigurava prihvatljivo okruženje za javnost i dostupnost građe</w:t>
      </w:r>
    </w:p>
    <w:p w:rsidR="00A07468" w:rsidRPr="00401087" w:rsidRDefault="00A07468" w:rsidP="00A074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10. provodi digitalizaciju muzejske građe</w:t>
      </w:r>
    </w:p>
    <w:p w:rsidR="00A07468" w:rsidRPr="00401087" w:rsidRDefault="00A07468" w:rsidP="00A0746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11. obavlja reviziju muzejske građe u muzeju i dostavlja o tome izvješće ministarstvu nadležnom za poslove kulture i osnivaču</w:t>
      </w:r>
    </w:p>
    <w:p w:rsidR="00A07468" w:rsidRPr="00401087" w:rsidRDefault="00A07468" w:rsidP="00A0746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12. obavlja procjenu povijesne, znanstvene, umjetničke i tržišne vrijednosti muzejske građe za potrebe upravljanja imovinom, za osiguranje i otkup </w:t>
      </w:r>
    </w:p>
    <w:p w:rsidR="00A07468" w:rsidRPr="00401087" w:rsidRDefault="00A07468" w:rsidP="00A0746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13. izrađuje stručna mišljenja, vještačenja i elaborate o muzejskome predmetu, građi, zbirci o kojoj skrbi i drugim kulturnim dobrima te dijelovima prirode</w:t>
      </w:r>
    </w:p>
    <w:p w:rsidR="00A07468" w:rsidRPr="00401087" w:rsidRDefault="00A07468" w:rsidP="00A0746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14. može organizirati izradu i prodaju suvenira i predmeta te izdavanje i prodaju publikacija tematski vezanih uz fundus i program muzeja</w:t>
      </w:r>
    </w:p>
    <w:p w:rsidR="00A07468" w:rsidRPr="00401087" w:rsidRDefault="00A07468" w:rsidP="00A07468">
      <w:pPr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ab/>
        <w:t>15. obavlja i druge djelatnosti sukladno Zakonu o muzejima i posebnom zakonu</w:t>
      </w:r>
      <w:r w:rsidR="00C3100B" w:rsidRPr="00401087">
        <w:rPr>
          <w:rFonts w:ascii="Times New Roman" w:hAnsi="Times New Roman" w:cs="Times New Roman"/>
          <w:sz w:val="24"/>
          <w:szCs w:val="24"/>
        </w:rPr>
        <w:t>.</w:t>
      </w:r>
    </w:p>
    <w:p w:rsidR="00C3100B" w:rsidRPr="00401087" w:rsidRDefault="00C3100B" w:rsidP="00A07468">
      <w:pPr>
        <w:rPr>
          <w:rFonts w:ascii="Times New Roman" w:hAnsi="Times New Roman" w:cs="Times New Roman"/>
          <w:sz w:val="24"/>
          <w:szCs w:val="24"/>
        </w:rPr>
      </w:pPr>
    </w:p>
    <w:p w:rsidR="00C3100B" w:rsidRPr="00401087" w:rsidRDefault="00C3100B" w:rsidP="00F50CB1">
      <w:pPr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Financijski</w:t>
      </w:r>
      <w:r w:rsidR="002207F4" w:rsidRPr="00401087">
        <w:rPr>
          <w:rFonts w:ascii="Times New Roman" w:hAnsi="Times New Roman" w:cs="Times New Roman"/>
          <w:sz w:val="24"/>
          <w:szCs w:val="24"/>
        </w:rPr>
        <w:t>m</w:t>
      </w:r>
      <w:r w:rsidRPr="00401087">
        <w:rPr>
          <w:rFonts w:ascii="Times New Roman" w:hAnsi="Times New Roman" w:cs="Times New Roman"/>
          <w:sz w:val="24"/>
          <w:szCs w:val="24"/>
        </w:rPr>
        <w:t xml:space="preserve"> plan</w:t>
      </w:r>
      <w:r w:rsidR="002207F4" w:rsidRPr="00401087">
        <w:rPr>
          <w:rFonts w:ascii="Times New Roman" w:hAnsi="Times New Roman" w:cs="Times New Roman"/>
          <w:sz w:val="24"/>
          <w:szCs w:val="24"/>
        </w:rPr>
        <w:t xml:space="preserve">om Hrvatskog povijesnog muzeja </w:t>
      </w:r>
      <w:r w:rsidR="00593086" w:rsidRPr="00401087">
        <w:rPr>
          <w:rFonts w:ascii="Times New Roman" w:hAnsi="Times New Roman" w:cs="Times New Roman"/>
          <w:sz w:val="24"/>
          <w:szCs w:val="24"/>
        </w:rPr>
        <w:t xml:space="preserve">za </w:t>
      </w:r>
      <w:r w:rsidRPr="00401087">
        <w:rPr>
          <w:rFonts w:ascii="Times New Roman" w:hAnsi="Times New Roman" w:cs="Times New Roman"/>
          <w:sz w:val="24"/>
          <w:szCs w:val="24"/>
        </w:rPr>
        <w:t>razdoblje od 202</w:t>
      </w:r>
      <w:r w:rsidR="00DA5D32" w:rsidRPr="00401087">
        <w:rPr>
          <w:rFonts w:ascii="Times New Roman" w:hAnsi="Times New Roman" w:cs="Times New Roman"/>
          <w:sz w:val="24"/>
          <w:szCs w:val="24"/>
        </w:rPr>
        <w:t>4</w:t>
      </w:r>
      <w:r w:rsidRPr="00401087">
        <w:rPr>
          <w:rFonts w:ascii="Times New Roman" w:hAnsi="Times New Roman" w:cs="Times New Roman"/>
          <w:sz w:val="24"/>
          <w:szCs w:val="24"/>
        </w:rPr>
        <w:t>. godine do 202</w:t>
      </w:r>
      <w:r w:rsidR="00DA5D32" w:rsidRPr="00401087">
        <w:rPr>
          <w:rFonts w:ascii="Times New Roman" w:hAnsi="Times New Roman" w:cs="Times New Roman"/>
          <w:sz w:val="24"/>
          <w:szCs w:val="24"/>
        </w:rPr>
        <w:t>6</w:t>
      </w:r>
      <w:r w:rsidRPr="00401087">
        <w:rPr>
          <w:rFonts w:ascii="Times New Roman" w:hAnsi="Times New Roman" w:cs="Times New Roman"/>
          <w:sz w:val="24"/>
          <w:szCs w:val="24"/>
        </w:rPr>
        <w:t>. godine</w:t>
      </w:r>
      <w:r w:rsidR="002207F4" w:rsidRPr="00401087">
        <w:rPr>
          <w:rFonts w:ascii="Times New Roman" w:hAnsi="Times New Roman" w:cs="Times New Roman"/>
          <w:sz w:val="24"/>
          <w:szCs w:val="24"/>
        </w:rPr>
        <w:t xml:space="preserve"> obuhvaćeni su prihodi i primitci, rashodi i izdaci za redovnu djelatnost, programsku djelatnost, izvorima financiranja i namjeni iskazani po izvorima financiranja i proračunskim klasifikacijama</w:t>
      </w:r>
      <w:r w:rsidRPr="00401087">
        <w:rPr>
          <w:rFonts w:ascii="Times New Roman" w:hAnsi="Times New Roman" w:cs="Times New Roman"/>
          <w:sz w:val="24"/>
          <w:szCs w:val="24"/>
        </w:rPr>
        <w:t>:</w:t>
      </w:r>
    </w:p>
    <w:p w:rsidR="00F378A0" w:rsidRPr="00401087" w:rsidRDefault="00DA5D32" w:rsidP="00F3297B">
      <w:pPr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Ukupno planirani prihodi za 2024. godinu iznose </w:t>
      </w:r>
      <w:r w:rsidR="009760CA">
        <w:rPr>
          <w:rFonts w:ascii="Times New Roman" w:hAnsi="Times New Roman" w:cs="Times New Roman"/>
          <w:sz w:val="24"/>
          <w:szCs w:val="24"/>
        </w:rPr>
        <w:t>1.454.886,59</w:t>
      </w:r>
      <w:r w:rsidRPr="00401087">
        <w:rPr>
          <w:rFonts w:ascii="Times New Roman" w:hAnsi="Times New Roman" w:cs="Times New Roman"/>
          <w:sz w:val="24"/>
          <w:szCs w:val="24"/>
        </w:rPr>
        <w:t xml:space="preserve"> eura. Ostvaruju se iz izvora 11, 31, 43</w:t>
      </w:r>
      <w:r w:rsidR="009760CA">
        <w:rPr>
          <w:rFonts w:ascii="Times New Roman" w:hAnsi="Times New Roman" w:cs="Times New Roman"/>
          <w:sz w:val="24"/>
          <w:szCs w:val="24"/>
        </w:rPr>
        <w:t xml:space="preserve"> i </w:t>
      </w:r>
      <w:r w:rsidRPr="00401087">
        <w:rPr>
          <w:rFonts w:ascii="Times New Roman" w:hAnsi="Times New Roman" w:cs="Times New Roman"/>
          <w:sz w:val="24"/>
          <w:szCs w:val="24"/>
        </w:rPr>
        <w:t xml:space="preserve">52. Iz izvora 11 ukupno planirani prihodi </w:t>
      </w:r>
      <w:r w:rsidR="00F378A0" w:rsidRPr="00401087">
        <w:rPr>
          <w:rFonts w:ascii="Times New Roman" w:hAnsi="Times New Roman" w:cs="Times New Roman"/>
          <w:sz w:val="24"/>
          <w:szCs w:val="24"/>
        </w:rPr>
        <w:t>za redovnu djelatnost iznose 1.185.228,</w:t>
      </w:r>
      <w:r w:rsidR="00544A3B">
        <w:rPr>
          <w:rFonts w:ascii="Times New Roman" w:hAnsi="Times New Roman" w:cs="Times New Roman"/>
          <w:sz w:val="24"/>
          <w:szCs w:val="24"/>
        </w:rPr>
        <w:t>00</w:t>
      </w:r>
      <w:r w:rsidR="00F378A0" w:rsidRPr="00401087">
        <w:rPr>
          <w:rFonts w:ascii="Times New Roman" w:hAnsi="Times New Roman" w:cs="Times New Roman"/>
          <w:sz w:val="24"/>
          <w:szCs w:val="24"/>
        </w:rPr>
        <w:t xml:space="preserve"> eura, a za programsku djelatnost 211.191,00 eura. Iz izvora 31 ukupno planirani prihodi za redovnu djelatnost iznose  29.748,68 eura</w:t>
      </w:r>
      <w:r w:rsidR="009760CA">
        <w:rPr>
          <w:rFonts w:ascii="Times New Roman" w:hAnsi="Times New Roman" w:cs="Times New Roman"/>
          <w:sz w:val="24"/>
          <w:szCs w:val="24"/>
        </w:rPr>
        <w:t xml:space="preserve">, </w:t>
      </w:r>
      <w:r w:rsidR="00F378A0" w:rsidRPr="00401087">
        <w:rPr>
          <w:rFonts w:ascii="Times New Roman" w:hAnsi="Times New Roman" w:cs="Times New Roman"/>
          <w:sz w:val="24"/>
          <w:szCs w:val="24"/>
        </w:rPr>
        <w:t>iz izvora 43 ukupno planirani prihodi za redovnu djelatnost iznose 6.868,91 eur</w:t>
      </w:r>
      <w:r w:rsidR="00544A3B">
        <w:rPr>
          <w:rFonts w:ascii="Times New Roman" w:hAnsi="Times New Roman" w:cs="Times New Roman"/>
          <w:sz w:val="24"/>
          <w:szCs w:val="24"/>
        </w:rPr>
        <w:t>o</w:t>
      </w:r>
      <w:r w:rsidR="00F378A0" w:rsidRPr="00401087">
        <w:rPr>
          <w:rFonts w:ascii="Times New Roman" w:hAnsi="Times New Roman" w:cs="Times New Roman"/>
          <w:sz w:val="24"/>
          <w:szCs w:val="24"/>
        </w:rPr>
        <w:t xml:space="preserve">. Iz izvora 52 ukupno planirani prihodi za programsku djelatnost iznose 21.850,00 eura. </w:t>
      </w:r>
    </w:p>
    <w:p w:rsidR="002207F4" w:rsidRPr="00401087" w:rsidRDefault="00401087" w:rsidP="00F3297B">
      <w:pPr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Ukupno planirani rashodi za 2024. godinu iznose </w:t>
      </w:r>
      <w:r w:rsidR="009760CA">
        <w:rPr>
          <w:rFonts w:ascii="Times New Roman" w:hAnsi="Times New Roman" w:cs="Times New Roman"/>
          <w:sz w:val="24"/>
          <w:szCs w:val="24"/>
        </w:rPr>
        <w:t xml:space="preserve">1.454.886,59 </w:t>
      </w:r>
      <w:r w:rsidRPr="00401087">
        <w:rPr>
          <w:rFonts w:ascii="Times New Roman" w:hAnsi="Times New Roman" w:cs="Times New Roman"/>
          <w:sz w:val="24"/>
          <w:szCs w:val="24"/>
        </w:rPr>
        <w:t>eura. Iz izvora 11 za redovnu djelatnost iznose 1.185.228,</w:t>
      </w:r>
      <w:r w:rsidR="00544A3B">
        <w:rPr>
          <w:rFonts w:ascii="Times New Roman" w:hAnsi="Times New Roman" w:cs="Times New Roman"/>
          <w:sz w:val="24"/>
          <w:szCs w:val="24"/>
        </w:rPr>
        <w:t>00</w:t>
      </w:r>
      <w:r w:rsidRPr="00401087">
        <w:rPr>
          <w:rFonts w:ascii="Times New Roman" w:hAnsi="Times New Roman" w:cs="Times New Roman"/>
          <w:sz w:val="24"/>
          <w:szCs w:val="24"/>
        </w:rPr>
        <w:t xml:space="preserve"> eura, a za programsku djelatnost 211.191,00 eura. Iz izvora 31 za redovnu djelatnost iznose  29.748,68 eura</w:t>
      </w:r>
      <w:r w:rsidR="00544A3B">
        <w:rPr>
          <w:rFonts w:ascii="Times New Roman" w:hAnsi="Times New Roman" w:cs="Times New Roman"/>
          <w:sz w:val="24"/>
          <w:szCs w:val="24"/>
        </w:rPr>
        <w:t xml:space="preserve"> a</w:t>
      </w:r>
      <w:r w:rsidRPr="00401087">
        <w:rPr>
          <w:rFonts w:ascii="Times New Roman" w:hAnsi="Times New Roman" w:cs="Times New Roman"/>
          <w:sz w:val="24"/>
          <w:szCs w:val="24"/>
        </w:rPr>
        <w:t xml:space="preserve"> iz izvora 43 za redovnu djelatnost iznose 6.868,91 eur</w:t>
      </w:r>
      <w:r w:rsidR="00544A3B">
        <w:rPr>
          <w:rFonts w:ascii="Times New Roman" w:hAnsi="Times New Roman" w:cs="Times New Roman"/>
          <w:sz w:val="24"/>
          <w:szCs w:val="24"/>
        </w:rPr>
        <w:t>o</w:t>
      </w:r>
      <w:r w:rsidRPr="00401087">
        <w:rPr>
          <w:rFonts w:ascii="Times New Roman" w:hAnsi="Times New Roman" w:cs="Times New Roman"/>
          <w:sz w:val="24"/>
          <w:szCs w:val="24"/>
        </w:rPr>
        <w:t xml:space="preserve">. Iz izvora 52 </w:t>
      </w:r>
      <w:r w:rsidR="00544A3B">
        <w:rPr>
          <w:rFonts w:ascii="Times New Roman" w:hAnsi="Times New Roman" w:cs="Times New Roman"/>
          <w:sz w:val="24"/>
          <w:szCs w:val="24"/>
        </w:rPr>
        <w:t xml:space="preserve">za </w:t>
      </w:r>
      <w:r w:rsidRPr="00401087">
        <w:rPr>
          <w:rFonts w:ascii="Times New Roman" w:hAnsi="Times New Roman" w:cs="Times New Roman"/>
          <w:sz w:val="24"/>
          <w:szCs w:val="24"/>
        </w:rPr>
        <w:t>programsku djelatnost iznose 21.850,00 eura.</w:t>
      </w:r>
    </w:p>
    <w:p w:rsidR="00401087" w:rsidRPr="00401087" w:rsidRDefault="00401087" w:rsidP="00F3297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1087">
        <w:rPr>
          <w:rFonts w:ascii="Times New Roman" w:hAnsi="Times New Roman" w:cs="Times New Roman"/>
          <w:sz w:val="24"/>
          <w:szCs w:val="24"/>
        </w:rPr>
        <w:t xml:space="preserve">Osim rashoda za zaposlene koji čine 43% ukupnih rashoda za redovnu djelatnost najznačajnija vrsta rashoda su rashodi za </w:t>
      </w:r>
      <w:r w:rsidR="007F58BA">
        <w:rPr>
          <w:rFonts w:ascii="Times New Roman" w:hAnsi="Times New Roman" w:cs="Times New Roman"/>
          <w:sz w:val="24"/>
          <w:szCs w:val="24"/>
        </w:rPr>
        <w:t>zakupnine i najamnine, odnose se na zakup poslovnog prostora vanjskog skladišta (</w:t>
      </w:r>
      <w:proofErr w:type="spellStart"/>
      <w:r w:rsidR="007F58BA">
        <w:rPr>
          <w:rFonts w:ascii="Times New Roman" w:hAnsi="Times New Roman" w:cs="Times New Roman"/>
          <w:sz w:val="24"/>
          <w:szCs w:val="24"/>
        </w:rPr>
        <w:t>čuvaonice</w:t>
      </w:r>
      <w:proofErr w:type="spellEnd"/>
      <w:r w:rsidR="007F58BA">
        <w:rPr>
          <w:rFonts w:ascii="Times New Roman" w:hAnsi="Times New Roman" w:cs="Times New Roman"/>
          <w:sz w:val="24"/>
          <w:szCs w:val="24"/>
        </w:rPr>
        <w:t xml:space="preserve">), i rashodi za zaštitarske usluge. </w:t>
      </w:r>
      <w:r w:rsidRPr="00401087">
        <w:rPr>
          <w:rFonts w:ascii="Times New Roman" w:hAnsi="Times New Roman" w:cs="Times New Roman"/>
          <w:sz w:val="24"/>
          <w:szCs w:val="24"/>
        </w:rPr>
        <w:t>Ukupni prijenos sredstava iz 2023. godine iznosi 55.735,99 eura.</w:t>
      </w:r>
    </w:p>
    <w:p w:rsidR="00401087" w:rsidRPr="00401087" w:rsidRDefault="00401087" w:rsidP="00F3297B">
      <w:pPr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Hrvatski povijesni muzej nema izdatke za financijsku imovinu u otplatu zajmova, kao ni potraživanja iz kreditnih ili sličnih odnosa. </w:t>
      </w:r>
    </w:p>
    <w:p w:rsidR="00401087" w:rsidRPr="00401087" w:rsidRDefault="00401087" w:rsidP="00F3297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401087" w:rsidRPr="00401087" w:rsidTr="007B3B74">
        <w:tc>
          <w:tcPr>
            <w:tcW w:w="1838" w:type="dxa"/>
          </w:tcPr>
          <w:p w:rsidR="00401087" w:rsidRPr="00401087" w:rsidRDefault="00401087" w:rsidP="007B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01087" w:rsidRPr="00401087" w:rsidRDefault="00401087" w:rsidP="007B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87">
              <w:rPr>
                <w:rFonts w:ascii="Times New Roman" w:hAnsi="Times New Roman" w:cs="Times New Roman"/>
                <w:sz w:val="24"/>
                <w:szCs w:val="24"/>
              </w:rPr>
              <w:t>Stanje obveza na dan 31.12.2022.</w:t>
            </w:r>
          </w:p>
        </w:tc>
        <w:tc>
          <w:tcPr>
            <w:tcW w:w="3680" w:type="dxa"/>
          </w:tcPr>
          <w:p w:rsidR="00401087" w:rsidRPr="00401087" w:rsidRDefault="00401087" w:rsidP="007B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87">
              <w:rPr>
                <w:rFonts w:ascii="Times New Roman" w:hAnsi="Times New Roman" w:cs="Times New Roman"/>
                <w:sz w:val="24"/>
                <w:szCs w:val="24"/>
              </w:rPr>
              <w:t>Stanje obveza na dan 30.06.2023.</w:t>
            </w:r>
          </w:p>
        </w:tc>
      </w:tr>
      <w:tr w:rsidR="00401087" w:rsidRPr="00401087" w:rsidTr="007B3B74">
        <w:tc>
          <w:tcPr>
            <w:tcW w:w="1838" w:type="dxa"/>
          </w:tcPr>
          <w:p w:rsidR="00401087" w:rsidRPr="00401087" w:rsidRDefault="00401087" w:rsidP="007B3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87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401087" w:rsidRPr="00401087" w:rsidRDefault="001F7BFE" w:rsidP="007B3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341.168,65 eura (2.570.536,62 kuna)</w:t>
            </w:r>
          </w:p>
        </w:tc>
        <w:tc>
          <w:tcPr>
            <w:tcW w:w="3680" w:type="dxa"/>
          </w:tcPr>
          <w:p w:rsidR="00401087" w:rsidRPr="00401087" w:rsidRDefault="00401087" w:rsidP="007B3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672.690,74 eura</w:t>
            </w:r>
          </w:p>
        </w:tc>
      </w:tr>
      <w:tr w:rsidR="00401087" w:rsidRPr="00401087" w:rsidTr="007B3B74">
        <w:tc>
          <w:tcPr>
            <w:tcW w:w="1838" w:type="dxa"/>
          </w:tcPr>
          <w:p w:rsidR="00401087" w:rsidRPr="00401087" w:rsidRDefault="00401087" w:rsidP="007B3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87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401087" w:rsidRPr="00401087" w:rsidRDefault="001F7BFE" w:rsidP="007B3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eura (0,00 kuna)</w:t>
            </w:r>
          </w:p>
        </w:tc>
        <w:tc>
          <w:tcPr>
            <w:tcW w:w="3680" w:type="dxa"/>
          </w:tcPr>
          <w:p w:rsidR="00401087" w:rsidRPr="00401087" w:rsidRDefault="00401087" w:rsidP="007B3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1F7BFE">
              <w:rPr>
                <w:rFonts w:ascii="Times New Roman" w:hAnsi="Times New Roman" w:cs="Times New Roman"/>
                <w:sz w:val="24"/>
                <w:szCs w:val="24"/>
              </w:rPr>
              <w:t xml:space="preserve"> eura</w:t>
            </w:r>
          </w:p>
        </w:tc>
      </w:tr>
    </w:tbl>
    <w:p w:rsidR="00401087" w:rsidRPr="00401087" w:rsidRDefault="00401087" w:rsidP="00F32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087" w:rsidRPr="00401087" w:rsidRDefault="00401087" w:rsidP="00F32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087" w:rsidRDefault="00401087" w:rsidP="00F32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C67" w:rsidRDefault="007F58BA" w:rsidP="00F3297B">
      <w:pPr>
        <w:jc w:val="both"/>
        <w:rPr>
          <w:rFonts w:ascii="Times New Roman" w:hAnsi="Times New Roman" w:cs="Times New Roman"/>
          <w:sz w:val="24"/>
          <w:szCs w:val="24"/>
        </w:rPr>
      </w:pPr>
      <w:r w:rsidRPr="007F58BA">
        <w:rPr>
          <w:noProof/>
        </w:rPr>
        <w:drawing>
          <wp:inline distT="0" distB="0" distL="0" distR="0">
            <wp:extent cx="5971677" cy="40767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687" cy="407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C67" w:rsidRDefault="005B2C67" w:rsidP="00F32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C67" w:rsidRDefault="005B2C67" w:rsidP="00F32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C67" w:rsidRDefault="005B2C67" w:rsidP="00F32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C67" w:rsidRDefault="005B2C67" w:rsidP="00F32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C67" w:rsidRDefault="005B2C67" w:rsidP="00F32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C67" w:rsidRDefault="005B2C67" w:rsidP="00F32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C67" w:rsidRDefault="00AF51FC" w:rsidP="00F3297B">
      <w:pPr>
        <w:jc w:val="both"/>
        <w:rPr>
          <w:rFonts w:ascii="Times New Roman" w:hAnsi="Times New Roman" w:cs="Times New Roman"/>
          <w:sz w:val="24"/>
          <w:szCs w:val="24"/>
        </w:rPr>
      </w:pPr>
      <w:r w:rsidRPr="00AF51FC">
        <w:rPr>
          <w:noProof/>
        </w:rPr>
        <w:lastRenderedPageBreak/>
        <w:drawing>
          <wp:inline distT="0" distB="0" distL="0" distR="0">
            <wp:extent cx="5972810" cy="8095201"/>
            <wp:effectExtent l="0" t="0" r="8890" b="12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09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C67" w:rsidRDefault="005B2C67" w:rsidP="00F32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C67" w:rsidRDefault="00AF51FC" w:rsidP="00F3297B">
      <w:pPr>
        <w:jc w:val="both"/>
        <w:rPr>
          <w:rFonts w:ascii="Times New Roman" w:hAnsi="Times New Roman" w:cs="Times New Roman"/>
          <w:sz w:val="24"/>
          <w:szCs w:val="24"/>
        </w:rPr>
      </w:pPr>
      <w:r w:rsidRPr="00AF51FC">
        <w:rPr>
          <w:noProof/>
        </w:rPr>
        <w:drawing>
          <wp:inline distT="0" distB="0" distL="0" distR="0">
            <wp:extent cx="5972096" cy="656272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8" cy="656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C67" w:rsidRDefault="005B2C67" w:rsidP="00F32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C67" w:rsidRDefault="005B2C67" w:rsidP="00F32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D6D" w:rsidRDefault="00824D6D" w:rsidP="00F32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D6D" w:rsidRDefault="00824D6D" w:rsidP="00F32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D6D" w:rsidRDefault="00BA3DF6" w:rsidP="00F3297B">
      <w:pPr>
        <w:jc w:val="both"/>
        <w:rPr>
          <w:rFonts w:ascii="Times New Roman" w:hAnsi="Times New Roman" w:cs="Times New Roman"/>
          <w:sz w:val="24"/>
          <w:szCs w:val="24"/>
        </w:rPr>
      </w:pPr>
      <w:r w:rsidRPr="00BA3DF6">
        <w:rPr>
          <w:noProof/>
        </w:rPr>
        <w:lastRenderedPageBreak/>
        <w:drawing>
          <wp:inline distT="0" distB="0" distL="0" distR="0">
            <wp:extent cx="5972560" cy="8970010"/>
            <wp:effectExtent l="0" t="0" r="9525" b="254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200" cy="897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D6D" w:rsidRDefault="00BA3DF6" w:rsidP="00F3297B">
      <w:pPr>
        <w:jc w:val="both"/>
        <w:rPr>
          <w:rFonts w:ascii="Times New Roman" w:hAnsi="Times New Roman" w:cs="Times New Roman"/>
          <w:sz w:val="24"/>
          <w:szCs w:val="24"/>
        </w:rPr>
      </w:pPr>
      <w:r w:rsidRPr="00BA3DF6">
        <w:rPr>
          <w:noProof/>
        </w:rPr>
        <w:lastRenderedPageBreak/>
        <w:drawing>
          <wp:inline distT="0" distB="0" distL="0" distR="0">
            <wp:extent cx="5972322" cy="6743700"/>
            <wp:effectExtent l="0" t="0" r="952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427" cy="674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D6D" w:rsidRDefault="00824D6D" w:rsidP="00F32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D6D" w:rsidRDefault="00824D6D" w:rsidP="00F32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DF6" w:rsidRDefault="00BA3DF6" w:rsidP="00F32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DF6" w:rsidRDefault="00BA3DF6" w:rsidP="00F32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DF6" w:rsidRDefault="00BA3DF6" w:rsidP="00F32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C67" w:rsidRPr="00824D6D" w:rsidRDefault="005B2C67" w:rsidP="00F3297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4D6D">
        <w:rPr>
          <w:rFonts w:ascii="Times New Roman" w:hAnsi="Times New Roman" w:cs="Times New Roman"/>
          <w:b/>
          <w:i/>
          <w:sz w:val="24"/>
          <w:szCs w:val="24"/>
        </w:rPr>
        <w:lastRenderedPageBreak/>
        <w:t>Plan rashoda za redovnu djelatnost:</w:t>
      </w:r>
    </w:p>
    <w:p w:rsidR="005B2C67" w:rsidRDefault="005B2C67" w:rsidP="00F32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rashodima za redovnu djelatnost obuhvaćeni su rashodi za zaposlene, materijalna prava radnika, materijalni i financijski rashodi. </w:t>
      </w:r>
    </w:p>
    <w:p w:rsidR="00824D6D" w:rsidRDefault="005B2C67" w:rsidP="00F32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zaposlene su planirani na osnovi 31 radno mjesto s punim radnim vremenom, iznose 670.855,00 eura u 202</w:t>
      </w:r>
      <w:r w:rsidR="00AF51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godini. Materijalni rashodi </w:t>
      </w:r>
      <w:r w:rsidR="00824D6D">
        <w:rPr>
          <w:rFonts w:ascii="Times New Roman" w:hAnsi="Times New Roman" w:cs="Times New Roman"/>
          <w:sz w:val="24"/>
          <w:szCs w:val="24"/>
        </w:rPr>
        <w:t>zajedno sa naknadom za prijevoz na posao i s posla su planirani u iznosu od 513.468,00 eura. Najznač</w:t>
      </w:r>
      <w:r w:rsidR="005D4A71">
        <w:rPr>
          <w:rFonts w:ascii="Times New Roman" w:hAnsi="Times New Roman" w:cs="Times New Roman"/>
          <w:sz w:val="24"/>
          <w:szCs w:val="24"/>
        </w:rPr>
        <w:t>aj</w:t>
      </w:r>
      <w:r w:rsidR="00824D6D">
        <w:rPr>
          <w:rFonts w:ascii="Times New Roman" w:hAnsi="Times New Roman" w:cs="Times New Roman"/>
          <w:sz w:val="24"/>
          <w:szCs w:val="24"/>
        </w:rPr>
        <w:t xml:space="preserve">niji udio u materijalnim rashodima imaju ostale usluge koje se odnose na trošak zaštitara jer Hrvatski povijesni muzej koristi prostore na tri lokacije u gradu Zagrebu. Financijski rashodi iznose </w:t>
      </w:r>
      <w:r w:rsidR="002D2F5B">
        <w:rPr>
          <w:rFonts w:ascii="Times New Roman" w:hAnsi="Times New Roman" w:cs="Times New Roman"/>
          <w:sz w:val="24"/>
          <w:szCs w:val="24"/>
        </w:rPr>
        <w:t>905,00 eura.</w:t>
      </w:r>
    </w:p>
    <w:p w:rsidR="002D2F5B" w:rsidRDefault="002D2F5B" w:rsidP="00F3297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Plan sredstava za programsku djelatnost:</w:t>
      </w:r>
    </w:p>
    <w:p w:rsidR="002D2F5B" w:rsidRPr="002D2F5B" w:rsidRDefault="002D2F5B" w:rsidP="00F32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ovom dijelu financijskog plana su obuhvaćeni su rashodi na osnovi ponuda koje su povezane za svaki pojedinačni program, kao i na osnovi procjene potrebnih rashoda za završetak obnove. Ukupni plan programske aktivnosti iznosi 211.191,00 eur</w:t>
      </w:r>
      <w:r w:rsidR="00DE164C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F5B" w:rsidRPr="002D2F5B" w:rsidRDefault="002D2F5B" w:rsidP="00F3297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2F5B">
        <w:rPr>
          <w:rFonts w:ascii="Times New Roman" w:hAnsi="Times New Roman" w:cs="Times New Roman"/>
          <w:b/>
          <w:i/>
          <w:sz w:val="24"/>
          <w:szCs w:val="24"/>
        </w:rPr>
        <w:t>Plan rashoda iz vlastitih sredstava – ostali izvori:</w:t>
      </w:r>
    </w:p>
    <w:p w:rsidR="002D2F5B" w:rsidRDefault="002D2F5B" w:rsidP="00F32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ovom dijelu financijskog plana obuhvaćeni su rashodi za koje nemamo dovoljno sredstava iz redovne djelatnosti</w:t>
      </w:r>
      <w:r w:rsidR="00DE164C">
        <w:rPr>
          <w:rFonts w:ascii="Times New Roman" w:hAnsi="Times New Roman" w:cs="Times New Roman"/>
          <w:sz w:val="24"/>
          <w:szCs w:val="24"/>
        </w:rPr>
        <w:t xml:space="preserve">, a planirani su na osnovi iskustva prethodnih godina. Ukupan iznos planiranih rashoda iz </w:t>
      </w:r>
      <w:r w:rsidR="00E61656">
        <w:rPr>
          <w:rFonts w:ascii="Times New Roman" w:hAnsi="Times New Roman" w:cs="Times New Roman"/>
          <w:sz w:val="24"/>
          <w:szCs w:val="24"/>
        </w:rPr>
        <w:t xml:space="preserve">ostalih izvora </w:t>
      </w:r>
      <w:r w:rsidR="00DE164C">
        <w:rPr>
          <w:rFonts w:ascii="Times New Roman" w:hAnsi="Times New Roman" w:cs="Times New Roman"/>
          <w:sz w:val="24"/>
          <w:szCs w:val="24"/>
        </w:rPr>
        <w:t xml:space="preserve">iznosi 58.467,59 eura. </w:t>
      </w:r>
    </w:p>
    <w:p w:rsidR="00507806" w:rsidRDefault="00507806" w:rsidP="00F32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806" w:rsidRDefault="00507806" w:rsidP="00F32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C67" w:rsidRPr="00401087" w:rsidRDefault="00197E1A" w:rsidP="00F3297B">
      <w:pPr>
        <w:jc w:val="both"/>
        <w:rPr>
          <w:rFonts w:ascii="Times New Roman" w:hAnsi="Times New Roman" w:cs="Times New Roman"/>
          <w:sz w:val="24"/>
          <w:szCs w:val="24"/>
        </w:rPr>
      </w:pPr>
      <w:r w:rsidRPr="00197E1A">
        <w:rPr>
          <w:noProof/>
        </w:rPr>
        <w:lastRenderedPageBreak/>
        <w:drawing>
          <wp:inline distT="0" distB="0" distL="0" distR="0">
            <wp:extent cx="5972605" cy="8959850"/>
            <wp:effectExtent l="0" t="0" r="9525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540" cy="896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87" w:rsidRPr="00401087" w:rsidRDefault="00197E1A" w:rsidP="00F3297B">
      <w:pPr>
        <w:jc w:val="both"/>
        <w:rPr>
          <w:rFonts w:ascii="Times New Roman" w:hAnsi="Times New Roman" w:cs="Times New Roman"/>
          <w:sz w:val="24"/>
          <w:szCs w:val="24"/>
        </w:rPr>
      </w:pPr>
      <w:r w:rsidRPr="00197E1A">
        <w:rPr>
          <w:noProof/>
        </w:rPr>
        <w:lastRenderedPageBreak/>
        <w:drawing>
          <wp:inline distT="0" distB="0" distL="0" distR="0">
            <wp:extent cx="5972175" cy="6953250"/>
            <wp:effectExtent l="0" t="0" r="9525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682" cy="695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834" w:rsidRPr="00401087" w:rsidRDefault="00CF4834" w:rsidP="00A07468">
      <w:pPr>
        <w:rPr>
          <w:rFonts w:ascii="Times New Roman" w:hAnsi="Times New Roman" w:cs="Times New Roman"/>
          <w:b/>
          <w:sz w:val="24"/>
          <w:szCs w:val="24"/>
        </w:rPr>
      </w:pPr>
    </w:p>
    <w:p w:rsidR="00CF4834" w:rsidRPr="00401087" w:rsidRDefault="00CF4834" w:rsidP="00A07468">
      <w:pPr>
        <w:rPr>
          <w:rFonts w:ascii="Times New Roman" w:hAnsi="Times New Roman" w:cs="Times New Roman"/>
          <w:b/>
          <w:sz w:val="24"/>
          <w:szCs w:val="24"/>
        </w:rPr>
      </w:pPr>
    </w:p>
    <w:p w:rsidR="00CF4834" w:rsidRPr="00401087" w:rsidRDefault="00CF4834" w:rsidP="00A07468">
      <w:pPr>
        <w:rPr>
          <w:rFonts w:ascii="Times New Roman" w:hAnsi="Times New Roman" w:cs="Times New Roman"/>
          <w:b/>
          <w:sz w:val="24"/>
          <w:szCs w:val="24"/>
        </w:rPr>
      </w:pPr>
    </w:p>
    <w:p w:rsidR="007075F6" w:rsidRPr="00401087" w:rsidRDefault="007075F6" w:rsidP="00A07468">
      <w:pPr>
        <w:rPr>
          <w:rFonts w:ascii="Times New Roman" w:hAnsi="Times New Roman" w:cs="Times New Roman"/>
          <w:noProof/>
          <w:sz w:val="24"/>
          <w:szCs w:val="24"/>
        </w:rPr>
      </w:pPr>
    </w:p>
    <w:p w:rsidR="00CF4834" w:rsidRPr="00401087" w:rsidRDefault="00197E1A" w:rsidP="00A07468">
      <w:pPr>
        <w:rPr>
          <w:rFonts w:ascii="Times New Roman" w:hAnsi="Times New Roman" w:cs="Times New Roman"/>
          <w:b/>
          <w:sz w:val="24"/>
          <w:szCs w:val="24"/>
        </w:rPr>
      </w:pPr>
      <w:r w:rsidRPr="00197E1A">
        <w:rPr>
          <w:noProof/>
        </w:rPr>
        <w:lastRenderedPageBreak/>
        <w:drawing>
          <wp:inline distT="0" distB="0" distL="0" distR="0">
            <wp:extent cx="5972008" cy="8842375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945" cy="886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834" w:rsidRPr="00401087" w:rsidRDefault="00197E1A" w:rsidP="00A07468">
      <w:pPr>
        <w:rPr>
          <w:rFonts w:ascii="Times New Roman" w:hAnsi="Times New Roman" w:cs="Times New Roman"/>
          <w:b/>
          <w:sz w:val="24"/>
          <w:szCs w:val="24"/>
        </w:rPr>
      </w:pPr>
      <w:r w:rsidRPr="00197E1A">
        <w:rPr>
          <w:noProof/>
        </w:rPr>
        <w:lastRenderedPageBreak/>
        <w:drawing>
          <wp:inline distT="0" distB="0" distL="0" distR="0">
            <wp:extent cx="5972616" cy="6981825"/>
            <wp:effectExtent l="0" t="0" r="9525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102" cy="698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834" w:rsidRPr="00401087" w:rsidRDefault="00CF4834" w:rsidP="00A07468">
      <w:pPr>
        <w:rPr>
          <w:rFonts w:ascii="Times New Roman" w:hAnsi="Times New Roman" w:cs="Times New Roman"/>
          <w:b/>
          <w:sz w:val="24"/>
          <w:szCs w:val="24"/>
        </w:rPr>
      </w:pPr>
    </w:p>
    <w:p w:rsidR="00CF4834" w:rsidRPr="00401087" w:rsidRDefault="00CF4834" w:rsidP="00A07468">
      <w:pPr>
        <w:rPr>
          <w:rFonts w:ascii="Times New Roman" w:hAnsi="Times New Roman" w:cs="Times New Roman"/>
          <w:b/>
          <w:sz w:val="24"/>
          <w:szCs w:val="24"/>
        </w:rPr>
      </w:pPr>
    </w:p>
    <w:p w:rsidR="006B6D8D" w:rsidRPr="00401087" w:rsidRDefault="006B6D8D" w:rsidP="00A07468">
      <w:pPr>
        <w:rPr>
          <w:rFonts w:ascii="Times New Roman" w:hAnsi="Times New Roman" w:cs="Times New Roman"/>
          <w:b/>
          <w:sz w:val="24"/>
          <w:szCs w:val="24"/>
        </w:rPr>
      </w:pPr>
    </w:p>
    <w:p w:rsidR="00A86022" w:rsidRPr="00401087" w:rsidRDefault="00A86022" w:rsidP="00A07468">
      <w:pPr>
        <w:rPr>
          <w:rFonts w:ascii="Times New Roman" w:hAnsi="Times New Roman" w:cs="Times New Roman"/>
          <w:b/>
          <w:sz w:val="24"/>
          <w:szCs w:val="24"/>
        </w:rPr>
      </w:pPr>
    </w:p>
    <w:sectPr w:rsidR="00A86022" w:rsidRPr="00401087" w:rsidSect="00E658C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83C"/>
    <w:multiLevelType w:val="hybridMultilevel"/>
    <w:tmpl w:val="02748422"/>
    <w:lvl w:ilvl="0" w:tplc="A86A9C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8120A"/>
    <w:multiLevelType w:val="hybridMultilevel"/>
    <w:tmpl w:val="7ED2A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C1FAC"/>
    <w:multiLevelType w:val="hybridMultilevel"/>
    <w:tmpl w:val="BDB67DE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35AAC"/>
    <w:multiLevelType w:val="hybridMultilevel"/>
    <w:tmpl w:val="6C6A94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3281F"/>
    <w:multiLevelType w:val="hybridMultilevel"/>
    <w:tmpl w:val="D7E2A6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94262"/>
    <w:multiLevelType w:val="hybridMultilevel"/>
    <w:tmpl w:val="D47C1CE6"/>
    <w:lvl w:ilvl="0" w:tplc="053E70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87101A7"/>
    <w:multiLevelType w:val="hybridMultilevel"/>
    <w:tmpl w:val="02748422"/>
    <w:lvl w:ilvl="0" w:tplc="A86A9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B2"/>
    <w:rsid w:val="00011953"/>
    <w:rsid w:val="0006465E"/>
    <w:rsid w:val="00074D0F"/>
    <w:rsid w:val="000B098D"/>
    <w:rsid w:val="000E345E"/>
    <w:rsid w:val="000F6475"/>
    <w:rsid w:val="0011029E"/>
    <w:rsid w:val="001224A2"/>
    <w:rsid w:val="0012340F"/>
    <w:rsid w:val="001279F3"/>
    <w:rsid w:val="00132794"/>
    <w:rsid w:val="0013448C"/>
    <w:rsid w:val="00157FAD"/>
    <w:rsid w:val="00170A2D"/>
    <w:rsid w:val="00170D5C"/>
    <w:rsid w:val="001746AD"/>
    <w:rsid w:val="00174D74"/>
    <w:rsid w:val="00176501"/>
    <w:rsid w:val="00177312"/>
    <w:rsid w:val="00190DB7"/>
    <w:rsid w:val="00197E1A"/>
    <w:rsid w:val="001F0538"/>
    <w:rsid w:val="001F7BFE"/>
    <w:rsid w:val="002106E5"/>
    <w:rsid w:val="002207F4"/>
    <w:rsid w:val="00227055"/>
    <w:rsid w:val="00245D7E"/>
    <w:rsid w:val="0025136C"/>
    <w:rsid w:val="002828A1"/>
    <w:rsid w:val="00284E94"/>
    <w:rsid w:val="002A43A7"/>
    <w:rsid w:val="002A762B"/>
    <w:rsid w:val="002B1540"/>
    <w:rsid w:val="002C1761"/>
    <w:rsid w:val="002C3BDE"/>
    <w:rsid w:val="002D2F5B"/>
    <w:rsid w:val="002D3A64"/>
    <w:rsid w:val="002D54EF"/>
    <w:rsid w:val="002F4A00"/>
    <w:rsid w:val="00312D8D"/>
    <w:rsid w:val="00313D6E"/>
    <w:rsid w:val="0031434C"/>
    <w:rsid w:val="003404C2"/>
    <w:rsid w:val="0034062A"/>
    <w:rsid w:val="00343025"/>
    <w:rsid w:val="0034398E"/>
    <w:rsid w:val="0035255A"/>
    <w:rsid w:val="003625A6"/>
    <w:rsid w:val="00383610"/>
    <w:rsid w:val="003919D3"/>
    <w:rsid w:val="003A399C"/>
    <w:rsid w:val="00401087"/>
    <w:rsid w:val="00445619"/>
    <w:rsid w:val="00446EB2"/>
    <w:rsid w:val="004606AB"/>
    <w:rsid w:val="00470B03"/>
    <w:rsid w:val="00486CAE"/>
    <w:rsid w:val="004A741D"/>
    <w:rsid w:val="004B26EB"/>
    <w:rsid w:val="004B5EAD"/>
    <w:rsid w:val="004C69D4"/>
    <w:rsid w:val="004D421F"/>
    <w:rsid w:val="004E6B34"/>
    <w:rsid w:val="00507806"/>
    <w:rsid w:val="00510B40"/>
    <w:rsid w:val="00527646"/>
    <w:rsid w:val="00544A3B"/>
    <w:rsid w:val="00550FDE"/>
    <w:rsid w:val="005608AC"/>
    <w:rsid w:val="005645E6"/>
    <w:rsid w:val="00593086"/>
    <w:rsid w:val="005B1D13"/>
    <w:rsid w:val="005B2C67"/>
    <w:rsid w:val="005B7EE0"/>
    <w:rsid w:val="005D4A71"/>
    <w:rsid w:val="00604E87"/>
    <w:rsid w:val="00651819"/>
    <w:rsid w:val="00697FC5"/>
    <w:rsid w:val="006B6D8D"/>
    <w:rsid w:val="006D7B62"/>
    <w:rsid w:val="007075F6"/>
    <w:rsid w:val="007079B1"/>
    <w:rsid w:val="007314AD"/>
    <w:rsid w:val="00736521"/>
    <w:rsid w:val="007404AF"/>
    <w:rsid w:val="0074083F"/>
    <w:rsid w:val="00746073"/>
    <w:rsid w:val="00782398"/>
    <w:rsid w:val="007B33C5"/>
    <w:rsid w:val="007C4A0A"/>
    <w:rsid w:val="007C64A5"/>
    <w:rsid w:val="007D1089"/>
    <w:rsid w:val="007E6403"/>
    <w:rsid w:val="007F58BA"/>
    <w:rsid w:val="0080094D"/>
    <w:rsid w:val="00802C4E"/>
    <w:rsid w:val="00824D6D"/>
    <w:rsid w:val="008805B1"/>
    <w:rsid w:val="008A0EE3"/>
    <w:rsid w:val="008B24E4"/>
    <w:rsid w:val="00906895"/>
    <w:rsid w:val="00945D3C"/>
    <w:rsid w:val="009760CA"/>
    <w:rsid w:val="0097737F"/>
    <w:rsid w:val="00977793"/>
    <w:rsid w:val="0099098B"/>
    <w:rsid w:val="009A2BBA"/>
    <w:rsid w:val="009B7ABF"/>
    <w:rsid w:val="009D0A2F"/>
    <w:rsid w:val="009D4D27"/>
    <w:rsid w:val="009F0D2A"/>
    <w:rsid w:val="00A07468"/>
    <w:rsid w:val="00A13293"/>
    <w:rsid w:val="00A157A9"/>
    <w:rsid w:val="00A2376E"/>
    <w:rsid w:val="00A27653"/>
    <w:rsid w:val="00A70AAC"/>
    <w:rsid w:val="00A83092"/>
    <w:rsid w:val="00A86022"/>
    <w:rsid w:val="00A91215"/>
    <w:rsid w:val="00A94AA9"/>
    <w:rsid w:val="00A97AC4"/>
    <w:rsid w:val="00AB571D"/>
    <w:rsid w:val="00AD67FD"/>
    <w:rsid w:val="00AE30D1"/>
    <w:rsid w:val="00AF51FC"/>
    <w:rsid w:val="00B05E84"/>
    <w:rsid w:val="00B170C6"/>
    <w:rsid w:val="00B25456"/>
    <w:rsid w:val="00B33375"/>
    <w:rsid w:val="00B35E52"/>
    <w:rsid w:val="00B508A3"/>
    <w:rsid w:val="00B51810"/>
    <w:rsid w:val="00B807AC"/>
    <w:rsid w:val="00B8171A"/>
    <w:rsid w:val="00B9468C"/>
    <w:rsid w:val="00BA3DF6"/>
    <w:rsid w:val="00BB2473"/>
    <w:rsid w:val="00BC6030"/>
    <w:rsid w:val="00C3100B"/>
    <w:rsid w:val="00C4456B"/>
    <w:rsid w:val="00C6248F"/>
    <w:rsid w:val="00C64F05"/>
    <w:rsid w:val="00C8240B"/>
    <w:rsid w:val="00C833CE"/>
    <w:rsid w:val="00C9121A"/>
    <w:rsid w:val="00C939A9"/>
    <w:rsid w:val="00CF4834"/>
    <w:rsid w:val="00D13414"/>
    <w:rsid w:val="00D20E68"/>
    <w:rsid w:val="00D50BC3"/>
    <w:rsid w:val="00D574A7"/>
    <w:rsid w:val="00D66731"/>
    <w:rsid w:val="00DA5D32"/>
    <w:rsid w:val="00DA6E33"/>
    <w:rsid w:val="00DD7C1D"/>
    <w:rsid w:val="00DE164C"/>
    <w:rsid w:val="00E42561"/>
    <w:rsid w:val="00E61656"/>
    <w:rsid w:val="00E658C3"/>
    <w:rsid w:val="00E85714"/>
    <w:rsid w:val="00EA6DA6"/>
    <w:rsid w:val="00EB5967"/>
    <w:rsid w:val="00F26F63"/>
    <w:rsid w:val="00F3297B"/>
    <w:rsid w:val="00F378A0"/>
    <w:rsid w:val="00F4064C"/>
    <w:rsid w:val="00F43A59"/>
    <w:rsid w:val="00F508EF"/>
    <w:rsid w:val="00F50CB1"/>
    <w:rsid w:val="00F6778C"/>
    <w:rsid w:val="00FA42C2"/>
    <w:rsid w:val="00FA444F"/>
    <w:rsid w:val="00FB220A"/>
    <w:rsid w:val="00FB4AB8"/>
    <w:rsid w:val="00FD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8078C-3572-4443-B1E8-8F1473DA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D20E68"/>
    <w:pPr>
      <w:ind w:left="720"/>
      <w:contextualSpacing/>
    </w:p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D20E68"/>
  </w:style>
  <w:style w:type="paragraph" w:styleId="Obinitekst">
    <w:name w:val="Plain Text"/>
    <w:basedOn w:val="Normal"/>
    <w:link w:val="ObinitekstChar"/>
    <w:uiPriority w:val="99"/>
    <w:rsid w:val="0090689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06895"/>
    <w:rPr>
      <w:rFonts w:ascii="Courier New" w:eastAsia="Times New Roman" w:hAnsi="Courier New" w:cs="Courier New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190D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Novotny</dc:creator>
  <cp:keywords/>
  <dc:description/>
  <cp:lastModifiedBy>Dijana Novotny</cp:lastModifiedBy>
  <cp:revision>127</cp:revision>
  <dcterms:created xsi:type="dcterms:W3CDTF">2021-09-21T08:46:00Z</dcterms:created>
  <dcterms:modified xsi:type="dcterms:W3CDTF">2023-10-04T07:02:00Z</dcterms:modified>
</cp:coreProperties>
</file>